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djustRightInd w:val="0"/>
        <w:snapToGrid w:val="0"/>
        <w:spacing w:line="360" w:lineRule="auto"/>
        <w:jc w:val="center"/>
        <w:rPr>
          <w:rFonts w:ascii="黑体" w:hAnsi="宋体" w:eastAsia="黑体"/>
          <w:b/>
          <w:sz w:val="30"/>
          <w:szCs w:val="30"/>
        </w:rPr>
      </w:pPr>
      <w:r>
        <w:rPr>
          <w:rFonts w:hint="eastAsia" w:ascii="黑体" w:hAnsi="宋体" w:eastAsia="黑体"/>
          <w:b/>
          <w:sz w:val="30"/>
          <w:szCs w:val="30"/>
        </w:rPr>
        <w:t>制药设备应用技术专业简介</w:t>
      </w:r>
    </w:p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一、专业特色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在制药工业迅速发展中，缺乏既懂制药工艺又懂制药设备的全面性人才，针对这一情况，我校</w:t>
      </w:r>
      <w:r>
        <w:rPr>
          <w:rFonts w:hint="eastAsia" w:ascii="宋体" w:hAnsi="宋体"/>
          <w:szCs w:val="21"/>
        </w:rPr>
        <w:t>制药设备应用技术专业的</w:t>
      </w:r>
      <w:r>
        <w:rPr>
          <w:rFonts w:hint="eastAsia" w:ascii="宋体" w:hAnsi="宋体"/>
          <w:szCs w:val="21"/>
        </w:rPr>
        <w:t>学生由机电工程学院和制药工程学院合作培养，使学生能够掌握制药工艺与制药设备应用的双重技能，具备多学科融合创新能力，成为“药械合一”的高素质技术技能</w:t>
      </w:r>
      <w:r>
        <w:rPr>
          <w:rFonts w:hint="eastAsia" w:ascii="宋体" w:hAnsi="宋体"/>
          <w:szCs w:val="21"/>
        </w:rPr>
        <w:t>型人才。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专业拥有GMP实训车间、生物制药实训室、液体制剂实训室、</w:t>
      </w:r>
      <w:r>
        <w:rPr>
          <w:rFonts w:hint="eastAsia" w:ascii="宋体" w:hAnsi="宋体"/>
          <w:szCs w:val="21"/>
        </w:rPr>
        <w:t>机电一体化系统综合实训室、电气综合安装与调试实训室、工业机器人实训室、自动线安装与调试实训室等校内实验实训室，完全满足学生实践教学需要。校外与扬子江药业集团、江苏天士力帝益药业有限公司、江苏正大清江制药有限公司、江苏汉邦科技等大中型企业合作，建立了稳定的校外实习基地，保障教学、实习以及社会服务的需要。</w:t>
      </w:r>
    </w:p>
    <w:p>
      <w:pPr>
        <w:spacing w:line="360" w:lineRule="auto"/>
        <w:ind w:firstLine="420" w:firstLineChars="200"/>
        <w:rPr>
          <w:rFonts w:hint="eastAsia" w:ascii="宋体" w:hAnsi="宋体"/>
          <w:szCs w:val="21"/>
        </w:rPr>
      </w:pPr>
      <w:r>
        <w:rPr>
          <w:rFonts w:ascii="宋体" w:hAnsi="宋体"/>
          <w:szCs w:val="21"/>
        </w:rPr>
        <w:drawing>
          <wp:inline distT="0" distB="0" distL="0" distR="0">
            <wp:extent cx="2519045" cy="1551940"/>
            <wp:effectExtent l="0" t="0" r="0" b="0"/>
            <wp:docPr id="3" name="图片 3" descr="C:\Users\liuyu\Desktop\mmexportf98b2efef9666cd316f2dbf6db7caeea_16537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liuyu\Desktop\mmexportf98b2efef9666cd316f2dbf6db7caeea_1653723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8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5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Cs w:val="21"/>
        </w:rPr>
        <w:t xml:space="preserve"> </w:t>
      </w:r>
      <w:r>
        <w:rPr>
          <w:rFonts w:ascii="宋体" w:hAnsi="宋体"/>
          <w:szCs w:val="21"/>
        </w:rPr>
        <w:drawing>
          <wp:inline distT="0" distB="0" distL="0" distR="0">
            <wp:extent cx="2519045" cy="1544955"/>
            <wp:effectExtent l="0" t="0" r="0" b="0"/>
            <wp:docPr id="2" name="图片 2" descr="C:\Users\liuyu\Desktop\mmexport6c45421eaae5bccbaf3535d75dedf15e_16537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liuyu\Desktop\mmexport6c45421eaae5bccbaf3535d75dedf15e_16537238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50" r="555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45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420" w:firstLineChars="200"/>
        <w:rPr>
          <w:rFonts w:ascii="宋体" w:hAnsi="宋体"/>
          <w:szCs w:val="21"/>
        </w:rPr>
      </w:pPr>
      <w:r>
        <w:rPr>
          <w:color w:val="000000"/>
        </w:rPr>
        <w:drawing>
          <wp:inline distT="0" distB="0" distL="0" distR="0">
            <wp:extent cx="2519680" cy="1550035"/>
            <wp:effectExtent l="0" t="0" r="0" b="0"/>
            <wp:docPr id="19" name="图片 19" descr="C:\Users\Administrator\AppData\Local\Temp\Rar$DIa7980.11291\工业机器人实训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\Users\Administrator\AppData\Local\Temp\Rar$DIa7980.11291\工业机器人实训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501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/>
          <w:szCs w:val="21"/>
        </w:rPr>
        <w:t xml:space="preserve"> </w:t>
      </w:r>
      <w:r>
        <w:rPr>
          <w:rFonts w:hint="eastAsia" w:ascii="黑体" w:hAnsi="黑体" w:eastAsia="黑体"/>
          <w:sz w:val="28"/>
          <w:szCs w:val="28"/>
        </w:rPr>
        <w:drawing>
          <wp:inline distT="0" distB="0" distL="114300" distR="114300">
            <wp:extent cx="2519680" cy="1546225"/>
            <wp:effectExtent l="0" t="0" r="0" b="0"/>
            <wp:docPr id="5" name="图片 5" descr="IMG_20180508_155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180508_155323"/>
                    <pic:cNvPicPr>
                      <a:picLocks noChangeAspect="1"/>
                    </pic:cNvPicPr>
                  </pic:nvPicPr>
                  <pic:blipFill>
                    <a:blip r:embed="rId8"/>
                    <a:srcRect t="289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54647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二、专业培养目标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本专业培养德、智、体、美全面发展，具有良好职业道德和人文素养，掌握制药设备的机械、电气控制的装配及应用等基本知识，熟悉药品生产、GMP 的相关知识，具备典型制药设备的装配、运行维护、机电维修、售后服务及管理等能力，从事制药设备的机电装配、安装调试、运行维护、技术改造、产品研发、管理及营销等工作的高素质技术技能</w:t>
      </w:r>
      <w:r>
        <w:rPr>
          <w:rFonts w:hint="eastAsia" w:ascii="宋体" w:hAnsi="宋体"/>
          <w:szCs w:val="21"/>
        </w:rPr>
        <w:t>型人才。</w:t>
      </w:r>
    </w:p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三、主干课程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机械基础、化工制图与识图、液压与气动技术、电工技术应用与实践、电子技术应用与实践、药品生产过程自动控制、制药设备应用与维护、制药工艺技术、制药设备电气安装技术、自动线安装与调试、工业机器人等。</w:t>
      </w:r>
    </w:p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四、就业面向及合作企业</w:t>
      </w:r>
    </w:p>
    <w:p>
      <w:pPr>
        <w:spacing w:line="360" w:lineRule="auto"/>
        <w:ind w:firstLine="480" w:firstLineChars="200"/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1、就业面向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随着科学技术和我国医药工业的飞速发展</w:t>
      </w:r>
      <w:r>
        <w:rPr>
          <w:rFonts w:hint="eastAsia" w:ascii="宋体" w:hAnsi="宋体"/>
          <w:szCs w:val="21"/>
        </w:rPr>
        <w:t>，制药设备应用人才需求量</w:t>
      </w:r>
      <w:r>
        <w:rPr>
          <w:rFonts w:hint="eastAsia" w:ascii="宋体" w:hAnsi="宋体"/>
          <w:szCs w:val="21"/>
        </w:rPr>
        <w:t>也迅速</w:t>
      </w:r>
      <w:r>
        <w:rPr>
          <w:rFonts w:hint="eastAsia" w:ascii="宋体" w:hAnsi="宋体"/>
          <w:szCs w:val="21"/>
        </w:rPr>
        <w:t>增加，呈现人才短缺的现象。本专业毕业生的主要就业面向是药品及保健品生产企业、制药设备加工制造企业以及其他相关企业。目前本专业毕业生广泛地活跃于扬子江药业集团、江苏天士力帝益药业有限公司、江苏正大清江制药有限公司等大中型制药企业。</w:t>
      </w:r>
    </w:p>
    <w:p>
      <w:pPr>
        <w:spacing w:line="360" w:lineRule="auto"/>
        <w:ind w:firstLine="480" w:firstLineChars="200"/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2、合作企业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合作企业有扬子江药业集团、江苏天士力帝益药业有限公司、江苏康缘药业股份有限公司、正大天晴药业集团有限公司、江苏正大清江制药有限公司、江苏汉邦科技有限公司等大中型制药企业及制药设备制造企业。</w:t>
      </w:r>
    </w:p>
    <w:tbl>
      <w:tblPr>
        <w:tblStyle w:val="12"/>
        <w:tblpPr w:leftFromText="180" w:rightFromText="180" w:vertAnchor="text" w:horzAnchor="margin" w:tblpXSpec="right" w:tblpY="365"/>
        <w:tblW w:w="9606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86"/>
        <w:gridCol w:w="4820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50" w:hRule="atLeast"/>
        </w:trPr>
        <w:tc>
          <w:tcPr>
            <w:tcW w:w="4786" w:type="dxa"/>
            <w:vAlign w:val="center"/>
          </w:tcPr>
          <w:p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drawing>
                <wp:inline distT="0" distB="0" distL="0" distR="0">
                  <wp:extent cx="2494280" cy="1619885"/>
                  <wp:effectExtent l="0" t="0" r="0" b="0"/>
                  <wp:docPr id="1" name="图片 1" descr="C:\Users\liuyu\Desktop\mmexport16537239146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\Users\liuyu\Desktop\mmexport165372391469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54" b="40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8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jc w:val="center"/>
              <w:rPr>
                <w:rFonts w:hint="eastAsia" w:ascii="宋体" w:hAnsi="宋体" w:cs="宋体"/>
                <w:color w:val="000000"/>
                <w:kern w:val="0"/>
                <w:sz w:val="24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扬子江药业集团</w:t>
            </w:r>
          </w:p>
        </w:tc>
        <w:tc>
          <w:tcPr>
            <w:tcW w:w="4820" w:type="dxa"/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szCs w:val="21"/>
              </w:rPr>
            </w:pPr>
            <w:r>
              <w:rPr>
                <w:rFonts w:ascii="宋体" w:hAnsi="宋体"/>
                <w:szCs w:val="21"/>
              </w:rPr>
              <w:drawing>
                <wp:inline distT="0" distB="0" distL="0" distR="0">
                  <wp:extent cx="2591435" cy="1619885"/>
                  <wp:effectExtent l="0" t="0" r="0" b="0"/>
                  <wp:docPr id="32780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8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47" t="1" r="12843" b="35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2000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黑体" w:hAnsi="黑体" w:eastAsia="黑体"/>
                <w:sz w:val="24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江苏天士力帝益药业有限公司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786" w:type="dxa"/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drawing>
                <wp:inline distT="0" distB="0" distL="0" distR="0">
                  <wp:extent cx="2519680" cy="1590040"/>
                  <wp:effectExtent l="0" t="0" r="0" b="0"/>
                  <wp:docPr id="24590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90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590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江苏康缘药业股份有限公司</w:t>
            </w:r>
          </w:p>
        </w:tc>
        <w:tc>
          <w:tcPr>
            <w:tcW w:w="4820" w:type="dxa"/>
            <w:vAlign w:val="center"/>
          </w:tcPr>
          <w:p>
            <w:pPr>
              <w:spacing w:line="360" w:lineRule="auto"/>
              <w:jc w:val="center"/>
              <w:rPr>
                <w:rFonts w:ascii="黑体" w:hAnsi="黑体" w:eastAsia="黑体"/>
                <w:sz w:val="24"/>
              </w:rPr>
            </w:pPr>
            <w:bookmarkStart w:id="0" w:name="_GoBack"/>
            <w:r>
              <w:rPr>
                <w:rFonts w:ascii="黑体" w:hAnsi="黑体" w:eastAsia="黑体"/>
                <w:sz w:val="24"/>
              </w:rPr>
              <w:drawing>
                <wp:inline distT="0" distB="0" distL="0" distR="0">
                  <wp:extent cx="2519680" cy="1610995"/>
                  <wp:effectExtent l="0" t="0" r="0" b="0"/>
                  <wp:docPr id="24591" name="图片 17" descr="图片包含 人员, 地板, 室内, 站立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591" name="图片 17" descr="图片包含 人员, 地板, 室内, 站立&#10;&#10;描述已自动生成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110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  <w:p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正大天晴药业集团有限公司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099" w:hRule="atLeast"/>
        </w:trPr>
        <w:tc>
          <w:tcPr>
            <w:tcW w:w="4786" w:type="dxa"/>
            <w:vAlign w:val="center"/>
          </w:tcPr>
          <w:p>
            <w:pPr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drawing>
                <wp:inline distT="0" distB="0" distL="0" distR="0">
                  <wp:extent cx="2519680" cy="1601470"/>
                  <wp:effectExtent l="0" t="0" r="0" b="0"/>
                  <wp:docPr id="3278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81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36" r="6543" b="46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01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line="360" w:lineRule="auto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江苏正大清江制药有限公司</w:t>
            </w:r>
          </w:p>
        </w:tc>
        <w:tc>
          <w:tcPr>
            <w:tcW w:w="4820" w:type="dxa"/>
            <w:vAlign w:val="center"/>
          </w:tcPr>
          <w:p>
            <w:pPr>
              <w:spacing w:line="360" w:lineRule="auto"/>
              <w:jc w:val="center"/>
              <w:rPr>
                <w:rFonts w:ascii="宋体" w:hAnsi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drawing>
                <wp:inline distT="0" distB="0" distL="0" distR="0">
                  <wp:extent cx="2519680" cy="1618615"/>
                  <wp:effectExtent l="0" t="0" r="0" b="0"/>
                  <wp:docPr id="13" name="图片 13" descr="C:\Users\spxy\Documents\Tencent Files\841077941\FileRecv\MobileFile\1653641000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\Users\spxy\Documents\Tencent Files\841077941\FileRecv\MobileFile\1653641000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110" b="3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00" cy="1619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jc w:val="center"/>
              <w:rPr>
                <w:rFonts w:hint="eastAsia" w:ascii="宋体" w:hAnsi="宋体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江苏汉邦科技有限公司</w:t>
            </w:r>
          </w:p>
        </w:tc>
      </w:tr>
    </w:tbl>
    <w:p>
      <w:pPr>
        <w:spacing w:line="360" w:lineRule="auto"/>
        <w:ind w:firstLine="560" w:firstLineChars="200"/>
        <w:rPr>
          <w:rFonts w:ascii="黑体" w:hAnsi="黑体" w:eastAsia="黑体"/>
          <w:sz w:val="28"/>
          <w:szCs w:val="28"/>
        </w:rPr>
      </w:pPr>
      <w:r>
        <w:rPr>
          <w:rFonts w:hint="eastAsia" w:ascii="黑体" w:hAnsi="黑体" w:eastAsia="黑体"/>
          <w:sz w:val="28"/>
          <w:szCs w:val="28"/>
        </w:rPr>
        <w:t>五、学历提升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420" w:firstLineChars="200"/>
        <w:jc w:val="left"/>
        <w:textAlignment w:val="auto"/>
        <w:outlineLvl w:val="9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学校免费为参加“专转本”同学进行考试课程辅导，助力报名转本的同学考取到本科院校继续深造；同时与南京理工大学、南京林业大学、南京工程学院等本科院校开设“专接本”班，接本学生成绩合格后可获取成人高等教育本科学历和学士学位。</w:t>
      </w:r>
    </w:p>
    <w:p>
      <w:pPr>
        <w:framePr w:hSpace="180" w:wrap="around" w:vAnchor="text" w:hAnchor="margin" w:xAlign="right" w:y="365"/>
        <w:jc w:val="center"/>
        <w:rPr>
          <w:rFonts w:ascii="宋体" w:hAnsi="宋体"/>
          <w:sz w:val="18"/>
          <w:szCs w:val="18"/>
        </w:rPr>
      </w:pPr>
      <w:r>
        <w:rPr>
          <w:rFonts w:ascii="宋体" w:hAnsi="宋体" w:cs="宋体"/>
          <w:color w:val="000000"/>
          <w:kern w:val="0"/>
          <w:sz w:val="24"/>
        </w:rPr>
        <w:t xml:space="preserve">    </w:t>
      </w:r>
    </w:p>
    <w:p>
      <w:pPr>
        <w:spacing w:line="360" w:lineRule="auto"/>
        <w:jc w:val="center"/>
        <w:rPr>
          <w:rFonts w:ascii="宋体" w:hAnsi="宋体" w:cs="宋体"/>
          <w:color w:val="000000"/>
          <w:kern w:val="0"/>
          <w:sz w:val="24"/>
        </w:rPr>
      </w:pPr>
    </w:p>
    <w:sectPr>
      <w:footerReference r:id="rId3" w:type="default"/>
      <w:pgSz w:w="11906" w:h="16838"/>
      <w:pgMar w:top="1497" w:right="1418" w:bottom="1497" w:left="1701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jc w:val="center"/>
    </w:pPr>
    <w:r>
      <w:fldChar w:fldCharType="begin"/>
    </w:r>
    <w:r>
      <w:instrText xml:space="preserve">PAGE   \* MERGEFORMAT</w:instrText>
    </w:r>
    <w:r>
      <w:fldChar w:fldCharType="separate"/>
    </w:r>
    <w:r>
      <w:rPr>
        <w:lang w:val="zh-CN"/>
      </w:rPr>
      <w:t>3</w:t>
    </w:r>
    <w:r>
      <w:fldChar w:fldCharType="end"/>
    </w:r>
  </w:p>
  <w:p>
    <w:pPr>
      <w:pStyle w:val="5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360A6A"/>
    <w:rsid w:val="00002956"/>
    <w:rsid w:val="00006ED2"/>
    <w:rsid w:val="0000770D"/>
    <w:rsid w:val="00030E26"/>
    <w:rsid w:val="00042829"/>
    <w:rsid w:val="00090844"/>
    <w:rsid w:val="000A6323"/>
    <w:rsid w:val="000D2545"/>
    <w:rsid w:val="000E1F70"/>
    <w:rsid w:val="000E3CDA"/>
    <w:rsid w:val="001113A6"/>
    <w:rsid w:val="00114C60"/>
    <w:rsid w:val="001213D4"/>
    <w:rsid w:val="00161BBA"/>
    <w:rsid w:val="001709DA"/>
    <w:rsid w:val="00176FDF"/>
    <w:rsid w:val="00204E53"/>
    <w:rsid w:val="00210382"/>
    <w:rsid w:val="0025094E"/>
    <w:rsid w:val="0027265C"/>
    <w:rsid w:val="0027497E"/>
    <w:rsid w:val="002805F6"/>
    <w:rsid w:val="00292D9C"/>
    <w:rsid w:val="002A75BC"/>
    <w:rsid w:val="002B0DDB"/>
    <w:rsid w:val="002B156F"/>
    <w:rsid w:val="002B3B17"/>
    <w:rsid w:val="002B4928"/>
    <w:rsid w:val="002C11E3"/>
    <w:rsid w:val="002D5949"/>
    <w:rsid w:val="002D7F91"/>
    <w:rsid w:val="003007DE"/>
    <w:rsid w:val="003527F4"/>
    <w:rsid w:val="00360A6A"/>
    <w:rsid w:val="003673A9"/>
    <w:rsid w:val="0038753F"/>
    <w:rsid w:val="003A4926"/>
    <w:rsid w:val="00404311"/>
    <w:rsid w:val="00452E81"/>
    <w:rsid w:val="00485F04"/>
    <w:rsid w:val="004952C9"/>
    <w:rsid w:val="004A46C0"/>
    <w:rsid w:val="004B1C58"/>
    <w:rsid w:val="004C6B53"/>
    <w:rsid w:val="004E41DF"/>
    <w:rsid w:val="004F1F5F"/>
    <w:rsid w:val="004F548B"/>
    <w:rsid w:val="00501250"/>
    <w:rsid w:val="00517C17"/>
    <w:rsid w:val="00521B7F"/>
    <w:rsid w:val="00524291"/>
    <w:rsid w:val="00575CD2"/>
    <w:rsid w:val="00584CE0"/>
    <w:rsid w:val="00584FA5"/>
    <w:rsid w:val="00586A1C"/>
    <w:rsid w:val="005A233E"/>
    <w:rsid w:val="005D4FF2"/>
    <w:rsid w:val="005E15BA"/>
    <w:rsid w:val="005E186F"/>
    <w:rsid w:val="00620680"/>
    <w:rsid w:val="0062445C"/>
    <w:rsid w:val="006834BA"/>
    <w:rsid w:val="00703998"/>
    <w:rsid w:val="00725F57"/>
    <w:rsid w:val="007327E9"/>
    <w:rsid w:val="00752F4E"/>
    <w:rsid w:val="007542DD"/>
    <w:rsid w:val="007908E9"/>
    <w:rsid w:val="007A0310"/>
    <w:rsid w:val="007A5DA9"/>
    <w:rsid w:val="007B0C39"/>
    <w:rsid w:val="007B1C1C"/>
    <w:rsid w:val="007B78D3"/>
    <w:rsid w:val="007D492B"/>
    <w:rsid w:val="007E021A"/>
    <w:rsid w:val="007E2751"/>
    <w:rsid w:val="007E335A"/>
    <w:rsid w:val="007F3EDE"/>
    <w:rsid w:val="008429AC"/>
    <w:rsid w:val="00854C48"/>
    <w:rsid w:val="00863CB0"/>
    <w:rsid w:val="00887729"/>
    <w:rsid w:val="008A2743"/>
    <w:rsid w:val="008E3E26"/>
    <w:rsid w:val="008E46EB"/>
    <w:rsid w:val="008F1268"/>
    <w:rsid w:val="009516EF"/>
    <w:rsid w:val="00982D16"/>
    <w:rsid w:val="00990AE3"/>
    <w:rsid w:val="00993D2D"/>
    <w:rsid w:val="009C2834"/>
    <w:rsid w:val="009D0F5A"/>
    <w:rsid w:val="009F0A0C"/>
    <w:rsid w:val="009F414A"/>
    <w:rsid w:val="00A02029"/>
    <w:rsid w:val="00A540A5"/>
    <w:rsid w:val="00A72175"/>
    <w:rsid w:val="00A87369"/>
    <w:rsid w:val="00A93CCF"/>
    <w:rsid w:val="00AD666C"/>
    <w:rsid w:val="00AE5BC4"/>
    <w:rsid w:val="00B036A2"/>
    <w:rsid w:val="00B268FE"/>
    <w:rsid w:val="00B31220"/>
    <w:rsid w:val="00B314AE"/>
    <w:rsid w:val="00B36992"/>
    <w:rsid w:val="00B673E1"/>
    <w:rsid w:val="00B77001"/>
    <w:rsid w:val="00BA610D"/>
    <w:rsid w:val="00BA6536"/>
    <w:rsid w:val="00BD2625"/>
    <w:rsid w:val="00C0040B"/>
    <w:rsid w:val="00C0390C"/>
    <w:rsid w:val="00C1083B"/>
    <w:rsid w:val="00C42C46"/>
    <w:rsid w:val="00C84555"/>
    <w:rsid w:val="00CC6AC0"/>
    <w:rsid w:val="00CD6BC4"/>
    <w:rsid w:val="00CF6064"/>
    <w:rsid w:val="00D0776F"/>
    <w:rsid w:val="00D22F35"/>
    <w:rsid w:val="00D30223"/>
    <w:rsid w:val="00D32F80"/>
    <w:rsid w:val="00DC4060"/>
    <w:rsid w:val="00DD6D4B"/>
    <w:rsid w:val="00E17656"/>
    <w:rsid w:val="00E54DE3"/>
    <w:rsid w:val="00E72555"/>
    <w:rsid w:val="00E85B72"/>
    <w:rsid w:val="00E921AC"/>
    <w:rsid w:val="00EB1CE6"/>
    <w:rsid w:val="00EB3162"/>
    <w:rsid w:val="00EE5EFC"/>
    <w:rsid w:val="00F04104"/>
    <w:rsid w:val="00F121F0"/>
    <w:rsid w:val="00F13AD1"/>
    <w:rsid w:val="00F450EC"/>
    <w:rsid w:val="00F67760"/>
    <w:rsid w:val="00F76BF0"/>
    <w:rsid w:val="00FB060D"/>
    <w:rsid w:val="00FE43D4"/>
    <w:rsid w:val="03BC3DB7"/>
    <w:rsid w:val="05242E0F"/>
    <w:rsid w:val="099D3739"/>
    <w:rsid w:val="0C013D22"/>
    <w:rsid w:val="0C433A42"/>
    <w:rsid w:val="0F0B61F5"/>
    <w:rsid w:val="106C69FC"/>
    <w:rsid w:val="10986DFD"/>
    <w:rsid w:val="1A6907DF"/>
    <w:rsid w:val="1B617AAD"/>
    <w:rsid w:val="22203BEC"/>
    <w:rsid w:val="23022AAE"/>
    <w:rsid w:val="321B61C7"/>
    <w:rsid w:val="33D456F4"/>
    <w:rsid w:val="34E02D27"/>
    <w:rsid w:val="414201AD"/>
    <w:rsid w:val="46864DA3"/>
    <w:rsid w:val="573F52B6"/>
    <w:rsid w:val="5BCC0674"/>
    <w:rsid w:val="604D49A0"/>
    <w:rsid w:val="64525E18"/>
    <w:rsid w:val="699C0658"/>
    <w:rsid w:val="706506D9"/>
    <w:rsid w:val="766D04FD"/>
    <w:rsid w:val="7AD57283"/>
    <w:rsid w:val="7DCA77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iPriority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uiPriority="99" w:name="Normal Indent"/>
    <w:lsdException w:uiPriority="99" w:name="footnote text"/>
    <w:lsdException w:uiPriority="99" w:name="annotation text"/>
    <w:lsdException w:unhideWhenUsed="0" w:uiPriority="99" w:semiHidden="0" w:name="header"/>
    <w:lsdException w:unhideWhenUsed="0" w:uiPriority="99" w:semiHidden="0" w:name="footer"/>
    <w:lsdException w:uiPriority="99" w:name="index heading"/>
    <w:lsdException w:qFormat="1" w:uiPriority="0" w:name="caption" w:locked="1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semiHidden="0" w:name="Hyperlink"/>
    <w:lsdException w:uiPriority="99" w:name="FollowedHyperlink"/>
    <w:lsdException w:qFormat="1" w:unhideWhenUsed="0" w:uiPriority="0" w:semiHidden="0" w:name="Strong" w:locked="1"/>
    <w:lsdException w:qFormat="1" w:unhideWhenUsed="0" w:uiPriority="20" w:semiHidden="0" w:name="Emphasis" w:locked="1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0" w:name="Table Web 3" w:locked="1"/>
    <w:lsdException w:uiPriority="99" w:name="Balloon Text"/>
    <w:lsdException w:unhideWhenUsed="0" w:uiPriority="0" w:semiHidden="0" w:name="Table Grid" w:locked="1"/>
    <w:lsdException w:uiPriority="0" w:name="Table Theme" w:locked="1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unhideWhenUsed/>
    <w:uiPriority w:val="1"/>
  </w:style>
  <w:style w:type="table" w:default="1" w:styleId="11">
    <w:name w:val="Normal Table"/>
    <w:unhideWhenUsed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subject"/>
    <w:basedOn w:val="3"/>
    <w:next w:val="3"/>
    <w:link w:val="17"/>
    <w:unhideWhenUsed/>
    <w:uiPriority w:val="99"/>
    <w:rPr>
      <w:b/>
      <w:bCs/>
    </w:rPr>
  </w:style>
  <w:style w:type="paragraph" w:styleId="3">
    <w:name w:val="annotation text"/>
    <w:basedOn w:val="1"/>
    <w:link w:val="16"/>
    <w:unhideWhenUsed/>
    <w:uiPriority w:val="99"/>
    <w:pPr>
      <w:jc w:val="left"/>
    </w:pPr>
  </w:style>
  <w:style w:type="paragraph" w:styleId="4">
    <w:name w:val="Balloon Text"/>
    <w:basedOn w:val="1"/>
    <w:link w:val="15"/>
    <w:unhideWhenUsed/>
    <w:uiPriority w:val="99"/>
    <w:rPr>
      <w:sz w:val="18"/>
      <w:szCs w:val="18"/>
    </w:rPr>
  </w:style>
  <w:style w:type="paragraph" w:styleId="5">
    <w:name w:val="footer"/>
    <w:basedOn w:val="1"/>
    <w:link w:val="13"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4"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8">
    <w:name w:val="Emphasis"/>
    <w:basedOn w:val="7"/>
    <w:qFormat/>
    <w:locked/>
    <w:uiPriority w:val="20"/>
    <w:rPr>
      <w:i/>
      <w:iCs/>
    </w:rPr>
  </w:style>
  <w:style w:type="character" w:styleId="9">
    <w:name w:val="Hyperlink"/>
    <w:basedOn w:val="7"/>
    <w:unhideWhenUsed/>
    <w:uiPriority w:val="99"/>
    <w:rPr>
      <w:color w:val="0000FF" w:themeColor="hyperlink"/>
      <w:u w:val="single"/>
    </w:rPr>
  </w:style>
  <w:style w:type="character" w:styleId="10">
    <w:name w:val="annotation reference"/>
    <w:basedOn w:val="7"/>
    <w:unhideWhenUsed/>
    <w:uiPriority w:val="99"/>
    <w:rPr>
      <w:sz w:val="21"/>
      <w:szCs w:val="21"/>
    </w:rPr>
  </w:style>
  <w:style w:type="table" w:styleId="12">
    <w:name w:val="Table Grid"/>
    <w:basedOn w:val="11"/>
    <w:locked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Layout w:type="fixed"/>
    </w:tblPr>
  </w:style>
  <w:style w:type="character" w:customStyle="1" w:styleId="13">
    <w:name w:val="页脚 字符"/>
    <w:basedOn w:val="7"/>
    <w:link w:val="5"/>
    <w:locked/>
    <w:uiPriority w:val="99"/>
    <w:rPr>
      <w:rFonts w:cs="Times New Roman"/>
      <w:sz w:val="18"/>
      <w:szCs w:val="18"/>
    </w:rPr>
  </w:style>
  <w:style w:type="character" w:customStyle="1" w:styleId="14">
    <w:name w:val="页眉 字符"/>
    <w:basedOn w:val="7"/>
    <w:link w:val="6"/>
    <w:locked/>
    <w:uiPriority w:val="99"/>
    <w:rPr>
      <w:rFonts w:cs="Times New Roman"/>
      <w:sz w:val="18"/>
      <w:szCs w:val="18"/>
    </w:rPr>
  </w:style>
  <w:style w:type="character" w:customStyle="1" w:styleId="15">
    <w:name w:val="批注框文本 字符"/>
    <w:basedOn w:val="7"/>
    <w:link w:val="4"/>
    <w:semiHidden/>
    <w:uiPriority w:val="99"/>
    <w:rPr>
      <w:kern w:val="2"/>
      <w:sz w:val="18"/>
      <w:szCs w:val="18"/>
    </w:rPr>
  </w:style>
  <w:style w:type="character" w:customStyle="1" w:styleId="16">
    <w:name w:val="批注文字 字符"/>
    <w:basedOn w:val="7"/>
    <w:link w:val="3"/>
    <w:semiHidden/>
    <w:uiPriority w:val="99"/>
    <w:rPr>
      <w:kern w:val="2"/>
      <w:sz w:val="21"/>
      <w:szCs w:val="24"/>
    </w:rPr>
  </w:style>
  <w:style w:type="character" w:customStyle="1" w:styleId="17">
    <w:name w:val="批注主题 字符"/>
    <w:basedOn w:val="16"/>
    <w:link w:val="2"/>
    <w:semiHidden/>
    <w:uiPriority w:val="99"/>
    <w:rPr>
      <w:b/>
      <w:bCs/>
      <w:kern w:val="2"/>
      <w:sz w:val="21"/>
      <w:szCs w:val="24"/>
    </w:rPr>
  </w:style>
  <w:style w:type="character" w:customStyle="1" w:styleId="18">
    <w:name w:val="fontstyle01"/>
    <w:basedOn w:val="7"/>
    <w:uiPriority w:val="0"/>
    <w:rPr>
      <w:rFonts w:hint="eastAsia" w:ascii="宋体" w:hAnsi="宋体" w:eastAsia="宋体"/>
      <w:color w:val="000000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customXml" Target="../customXml/item2.xml"/><Relationship Id="rId15" Type="http://schemas.openxmlformats.org/officeDocument/2006/relationships/customXml" Target="../customXml/item1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0BE920EF-9CAF-4BB4-9A6A-D0650C6C7218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中国</Company>
  <Pages>3</Pages>
  <Words>162</Words>
  <Characters>928</Characters>
  <Lines>7</Lines>
  <Paragraphs>2</Paragraphs>
  <TotalTime>0</TotalTime>
  <ScaleCrop>false</ScaleCrop>
  <LinksUpToDate>false</LinksUpToDate>
  <CharactersWithSpaces>1088</CharactersWithSpaces>
  <Application>WPS Office_10.1.0.7022_F1E327BC-269C-435d-A152-05C5408002CA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2019-09-12T09:06:00Z</dcterms:created>
  <dc:creator>晋冬</dc:creator>
  <cp:lastModifiedBy>李兵</cp:lastModifiedBy>
  <cp:lastPrinted>2019-06-27T02:03:00Z</cp:lastPrinted>
  <dcterms:modified xsi:type="dcterms:W3CDTF">2022-05-30T02:37:44Z</dcterms:modified>
  <cp:revision>72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2052-10.1.0.7022</vt:lpwstr>
  </property>
</Properties>
</file>