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460" w:lineRule="exact"/>
        <w:jc w:val="center"/>
        <w:rPr>
          <w:rFonts w:ascii="黑体" w:hAnsi="宋体" w:eastAsia="黑体"/>
          <w:b/>
          <w:sz w:val="30"/>
          <w:szCs w:val="30"/>
        </w:rPr>
      </w:pPr>
      <w:r>
        <w:rPr>
          <w:rFonts w:hint="eastAsia" w:ascii="黑体" w:hAnsi="宋体" w:eastAsia="黑体"/>
          <w:b/>
          <w:sz w:val="30"/>
          <w:szCs w:val="30"/>
        </w:rPr>
        <w:t>江苏食品药品职业技术学院</w:t>
      </w:r>
    </w:p>
    <w:p>
      <w:pPr>
        <w:adjustRightInd w:val="0"/>
        <w:snapToGrid w:val="0"/>
        <w:spacing w:line="460" w:lineRule="exact"/>
        <w:jc w:val="center"/>
        <w:rPr>
          <w:rFonts w:ascii="黑体" w:hAnsi="宋体" w:eastAsia="黑体"/>
          <w:b/>
          <w:sz w:val="30"/>
          <w:szCs w:val="30"/>
        </w:rPr>
      </w:pPr>
      <w:r>
        <w:rPr>
          <w:rFonts w:hint="eastAsia" w:ascii="黑体" w:hAnsi="宋体" w:eastAsia="黑体"/>
          <w:b/>
          <w:sz w:val="30"/>
          <w:szCs w:val="30"/>
        </w:rPr>
        <w:t>机电工程学院2022年招生简章</w:t>
      </w:r>
    </w:p>
    <w:p>
      <w:pPr>
        <w:spacing w:line="360" w:lineRule="auto"/>
        <w:ind w:firstLine="560" w:firstLineChars="200"/>
        <w:rPr>
          <w:rFonts w:ascii="黑体" w:hAnsi="黑体" w:eastAsia="黑体"/>
          <w:sz w:val="28"/>
          <w:szCs w:val="28"/>
        </w:rPr>
      </w:pPr>
      <w:r>
        <w:rPr>
          <w:rFonts w:hint="eastAsia" w:ascii="黑体" w:hAnsi="黑体" w:eastAsia="黑体"/>
          <w:sz w:val="28"/>
          <w:szCs w:val="28"/>
        </w:rPr>
        <w:t>一、招生专业介绍</w:t>
      </w:r>
    </w:p>
    <w:p>
      <w:pPr>
        <w:spacing w:line="300" w:lineRule="auto"/>
        <w:ind w:firstLine="422" w:firstLineChars="200"/>
        <w:rPr>
          <w:rFonts w:ascii="宋体" w:hAnsi="宋体"/>
          <w:b/>
          <w:szCs w:val="21"/>
        </w:rPr>
      </w:pPr>
      <w:r>
        <w:rPr>
          <w:rFonts w:hint="eastAsia" w:ascii="宋体" w:hAnsi="宋体"/>
          <w:b/>
          <w:szCs w:val="21"/>
        </w:rPr>
        <w:t>【机电一体化技术】</w:t>
      </w:r>
    </w:p>
    <w:p>
      <w:pPr>
        <w:spacing w:line="300" w:lineRule="auto"/>
        <w:ind w:firstLine="420" w:firstLineChars="200"/>
        <w:rPr>
          <w:rFonts w:ascii="宋体" w:hAnsi="宋体"/>
          <w:szCs w:val="21"/>
        </w:rPr>
      </w:pPr>
      <w:r>
        <w:rPr>
          <w:rFonts w:hint="eastAsia" w:ascii="宋体" w:hAnsi="宋体"/>
          <w:szCs w:val="21"/>
        </w:rPr>
        <w:t>专业主要开设以机械技术为基础，电气控制为核心，机电设备及自动化生产线安装调试为重点等相关知识与技能课程，学生可获取维修电工、CAD应用工程师等中高级职业资格证书。培养具备智能化设备安装调试、设计、维护维修、质检销售等能力的技术技能型人才。</w:t>
      </w:r>
    </w:p>
    <w:p>
      <w:pPr>
        <w:spacing w:line="300" w:lineRule="auto"/>
        <w:ind w:firstLine="422" w:firstLineChars="200"/>
        <w:rPr>
          <w:rFonts w:ascii="宋体" w:hAnsi="宋体"/>
          <w:b/>
          <w:szCs w:val="21"/>
        </w:rPr>
      </w:pPr>
      <w:r>
        <w:rPr>
          <w:rFonts w:hint="eastAsia" w:ascii="宋体" w:hAnsi="宋体"/>
          <w:b/>
          <w:szCs w:val="21"/>
        </w:rPr>
        <w:t>【电气自动化技术】</w:t>
      </w:r>
    </w:p>
    <w:p>
      <w:pPr>
        <w:spacing w:line="300" w:lineRule="auto"/>
        <w:ind w:firstLine="420" w:firstLineChars="200"/>
        <w:rPr>
          <w:rFonts w:ascii="宋体" w:hAnsi="宋体"/>
          <w:szCs w:val="21"/>
        </w:rPr>
      </w:pPr>
      <w:r>
        <w:rPr>
          <w:rFonts w:hint="eastAsia" w:ascii="宋体" w:hAnsi="宋体"/>
          <w:szCs w:val="21"/>
        </w:rPr>
        <w:t>培养德技并修、全面发展，适应智能制造产业发展，具有职业道德、创新意识及工匠精神；掌握专业理论知识和专业技能，面向电气控制设备、自动化生产线、工业机器人系统等自动化装备制造企业，从事维护、安装、调试、设计的高素质技术技能型人才。</w:t>
      </w:r>
    </w:p>
    <w:p>
      <w:pPr>
        <w:spacing w:line="300" w:lineRule="auto"/>
        <w:ind w:firstLine="422" w:firstLineChars="200"/>
        <w:rPr>
          <w:rFonts w:ascii="宋体" w:hAnsi="宋体"/>
          <w:b/>
          <w:szCs w:val="21"/>
        </w:rPr>
      </w:pPr>
      <w:r>
        <w:rPr>
          <w:rFonts w:hint="eastAsia" w:ascii="宋体" w:hAnsi="宋体"/>
          <w:b/>
          <w:szCs w:val="21"/>
        </w:rPr>
        <w:t>【智能控制技术】</w:t>
      </w:r>
    </w:p>
    <w:p>
      <w:pPr>
        <w:spacing w:line="300" w:lineRule="auto"/>
        <w:ind w:firstLine="420" w:firstLineChars="200"/>
        <w:rPr>
          <w:rFonts w:ascii="宋体" w:hAnsi="宋体"/>
          <w:szCs w:val="21"/>
        </w:rPr>
      </w:pPr>
      <w:r>
        <w:rPr>
          <w:rFonts w:hint="eastAsia" w:ascii="宋体" w:hAnsi="宋体"/>
          <w:szCs w:val="21"/>
        </w:rPr>
        <w:t>面向智能设备生产制造、智能控制系统集成、新能源、5G以及多传感融合等行业，培养掌握电力电子技术应用开发、智能嵌入式产品设计开发、工业互联网运维、智能交通管控以及新能源汽车充电场站运维的高素质技术技能型人才。</w:t>
      </w:r>
    </w:p>
    <w:p>
      <w:pPr>
        <w:spacing w:line="300" w:lineRule="auto"/>
        <w:ind w:firstLine="422" w:firstLineChars="200"/>
        <w:rPr>
          <w:rFonts w:ascii="宋体" w:hAnsi="宋体"/>
          <w:b/>
          <w:szCs w:val="21"/>
        </w:rPr>
      </w:pPr>
      <w:r>
        <w:rPr>
          <w:rFonts w:hint="eastAsia" w:ascii="宋体" w:hAnsi="宋体"/>
          <w:b/>
          <w:szCs w:val="21"/>
        </w:rPr>
        <w:t>【制药设备应用技术】</w:t>
      </w:r>
    </w:p>
    <w:p>
      <w:pPr>
        <w:spacing w:line="360" w:lineRule="auto"/>
        <w:ind w:firstLine="420" w:firstLineChars="200"/>
        <w:rPr>
          <w:rFonts w:ascii="黑体" w:hAnsi="黑体" w:eastAsia="黑体"/>
          <w:sz w:val="28"/>
          <w:szCs w:val="28"/>
        </w:rPr>
      </w:pPr>
      <w:r>
        <w:t>培养掌握制药设备的机械、电气控制的装配及应用等基本知识，熟悉药品生产、GMP的相关知识，具备典型制药设备的装配、运行维护、机电维修、售后服务及管理等能力，从事制药设备的机电装配、安装调试、运行维护、技术改造、产品研发、管理及营销等工作的高素质技术技能型人才。</w:t>
      </w:r>
      <w:r>
        <w:rPr>
          <w:rFonts w:hint="eastAsia" w:ascii="黑体" w:hAnsi="黑体" w:eastAsia="黑体"/>
          <w:sz w:val="28"/>
          <w:szCs w:val="28"/>
        </w:rPr>
        <w:t>二、招生专业计划</w:t>
      </w:r>
    </w:p>
    <w:tbl>
      <w:tblPr>
        <w:tblStyle w:val="12"/>
        <w:tblW w:w="935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1933"/>
        <w:gridCol w:w="2183"/>
        <w:gridCol w:w="1243"/>
        <w:gridCol w:w="1317"/>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7" w:type="dxa"/>
            <w:vAlign w:val="center"/>
          </w:tcPr>
          <w:p>
            <w:pPr>
              <w:jc w:val="center"/>
              <w:rPr>
                <w:rFonts w:ascii="宋体" w:hAnsi="宋体"/>
                <w:b/>
                <w:sz w:val="24"/>
              </w:rPr>
            </w:pPr>
            <w:r>
              <w:rPr>
                <w:rFonts w:hint="eastAsia" w:ascii="宋体" w:hAnsi="宋体"/>
                <w:b/>
                <w:sz w:val="24"/>
              </w:rPr>
              <w:t>批次类别</w:t>
            </w:r>
          </w:p>
        </w:tc>
        <w:tc>
          <w:tcPr>
            <w:tcW w:w="1933" w:type="dxa"/>
            <w:vAlign w:val="center"/>
          </w:tcPr>
          <w:p>
            <w:pPr>
              <w:jc w:val="center"/>
              <w:rPr>
                <w:rFonts w:ascii="宋体" w:hAnsi="宋体"/>
                <w:b/>
                <w:sz w:val="24"/>
              </w:rPr>
            </w:pPr>
            <w:r>
              <w:rPr>
                <w:rFonts w:hint="eastAsia" w:ascii="宋体" w:hAnsi="宋体"/>
                <w:b/>
                <w:sz w:val="24"/>
              </w:rPr>
              <w:t>科目组</w:t>
            </w:r>
          </w:p>
        </w:tc>
        <w:tc>
          <w:tcPr>
            <w:tcW w:w="2183" w:type="dxa"/>
            <w:vAlign w:val="center"/>
          </w:tcPr>
          <w:p>
            <w:pPr>
              <w:jc w:val="center"/>
              <w:rPr>
                <w:rFonts w:ascii="宋体" w:hAnsi="宋体"/>
                <w:b/>
                <w:sz w:val="24"/>
              </w:rPr>
            </w:pPr>
            <w:r>
              <w:rPr>
                <w:rFonts w:hint="eastAsia" w:ascii="宋体" w:hAnsi="宋体"/>
                <w:b/>
                <w:sz w:val="24"/>
              </w:rPr>
              <w:t>招生专业</w:t>
            </w:r>
          </w:p>
        </w:tc>
        <w:tc>
          <w:tcPr>
            <w:tcW w:w="1243" w:type="dxa"/>
            <w:vAlign w:val="center"/>
          </w:tcPr>
          <w:p>
            <w:pPr>
              <w:jc w:val="center"/>
              <w:rPr>
                <w:rFonts w:ascii="宋体" w:hAnsi="宋体"/>
                <w:b/>
                <w:sz w:val="24"/>
              </w:rPr>
            </w:pPr>
            <w:r>
              <w:rPr>
                <w:rFonts w:hint="eastAsia" w:ascii="宋体" w:hAnsi="宋体"/>
                <w:b/>
                <w:sz w:val="24"/>
              </w:rPr>
              <w:t>招生计划</w:t>
            </w:r>
          </w:p>
        </w:tc>
        <w:tc>
          <w:tcPr>
            <w:tcW w:w="1317" w:type="dxa"/>
            <w:vAlign w:val="center"/>
          </w:tcPr>
          <w:p>
            <w:pPr>
              <w:jc w:val="center"/>
              <w:rPr>
                <w:rFonts w:ascii="宋体" w:hAnsi="宋体"/>
                <w:b/>
                <w:sz w:val="24"/>
              </w:rPr>
            </w:pPr>
            <w:r>
              <w:rPr>
                <w:rFonts w:ascii="宋体" w:hAnsi="宋体"/>
                <w:b/>
                <w:sz w:val="24"/>
              </w:rPr>
              <w:t>学费</w:t>
            </w:r>
          </w:p>
          <w:p>
            <w:pPr>
              <w:jc w:val="center"/>
              <w:rPr>
                <w:rFonts w:ascii="宋体" w:hAnsi="宋体"/>
                <w:b/>
                <w:sz w:val="24"/>
              </w:rPr>
            </w:pPr>
            <w:r>
              <w:rPr>
                <w:rFonts w:hint="eastAsia" w:ascii="宋体" w:hAnsi="宋体"/>
                <w:b/>
                <w:sz w:val="24"/>
              </w:rPr>
              <w:t>（元/年）</w:t>
            </w:r>
          </w:p>
        </w:tc>
        <w:tc>
          <w:tcPr>
            <w:tcW w:w="1843" w:type="dxa"/>
            <w:vAlign w:val="center"/>
          </w:tcPr>
          <w:p>
            <w:pPr>
              <w:jc w:val="center"/>
              <w:rPr>
                <w:rFonts w:ascii="宋体" w:hAnsi="宋体"/>
                <w:b/>
                <w:sz w:val="24"/>
              </w:rPr>
            </w:pPr>
            <w:r>
              <w:rPr>
                <w:rFonts w:hint="eastAsia" w:ascii="宋体" w:hAnsi="宋体"/>
                <w:b/>
                <w:sz w:val="24"/>
              </w:rPr>
              <w:t>咨询电话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7" w:type="dxa"/>
            <w:vAlign w:val="center"/>
          </w:tcPr>
          <w:p>
            <w:pPr>
              <w:snapToGrid w:val="0"/>
              <w:jc w:val="center"/>
              <w:rPr>
                <w:rFonts w:ascii="宋体" w:hAnsi="宋体"/>
                <w:sz w:val="24"/>
              </w:rPr>
            </w:pPr>
            <w:r>
              <w:rPr>
                <w:rFonts w:hint="eastAsia" w:ascii="宋体" w:hAnsi="宋体"/>
                <w:sz w:val="24"/>
              </w:rPr>
              <w:t>中职第一批次</w:t>
            </w:r>
          </w:p>
        </w:tc>
        <w:tc>
          <w:tcPr>
            <w:tcW w:w="1933" w:type="dxa"/>
            <w:vAlign w:val="center"/>
          </w:tcPr>
          <w:p>
            <w:pPr>
              <w:snapToGrid w:val="0"/>
              <w:jc w:val="center"/>
              <w:rPr>
                <w:rFonts w:ascii="宋体" w:hAnsi="宋体"/>
                <w:sz w:val="24"/>
              </w:rPr>
            </w:pPr>
            <w:r>
              <w:rPr>
                <w:rFonts w:hint="eastAsia" w:ascii="宋体" w:hAnsi="宋体"/>
                <w:sz w:val="24"/>
              </w:rPr>
              <w:t>机电一体化</w:t>
            </w:r>
          </w:p>
        </w:tc>
        <w:tc>
          <w:tcPr>
            <w:tcW w:w="2183" w:type="dxa"/>
            <w:vAlign w:val="center"/>
          </w:tcPr>
          <w:p>
            <w:pPr>
              <w:snapToGrid w:val="0"/>
              <w:jc w:val="center"/>
              <w:rPr>
                <w:rFonts w:ascii="宋体" w:hAnsi="宋体"/>
                <w:sz w:val="24"/>
              </w:rPr>
            </w:pPr>
            <w:r>
              <w:rPr>
                <w:rFonts w:hint="eastAsia" w:ascii="宋体" w:hAnsi="宋体"/>
                <w:sz w:val="24"/>
              </w:rPr>
              <w:t>机电一体化技术</w:t>
            </w:r>
          </w:p>
        </w:tc>
        <w:tc>
          <w:tcPr>
            <w:tcW w:w="1243" w:type="dxa"/>
            <w:vAlign w:val="center"/>
          </w:tcPr>
          <w:p>
            <w:pPr>
              <w:snapToGrid w:val="0"/>
              <w:jc w:val="center"/>
              <w:rPr>
                <w:rFonts w:ascii="宋体" w:hAnsi="宋体"/>
                <w:sz w:val="24"/>
              </w:rPr>
            </w:pPr>
            <w:r>
              <w:rPr>
                <w:rFonts w:ascii="宋体" w:hAnsi="宋体"/>
                <w:sz w:val="24"/>
              </w:rPr>
              <w:t>15</w:t>
            </w:r>
          </w:p>
        </w:tc>
        <w:tc>
          <w:tcPr>
            <w:tcW w:w="1317" w:type="dxa"/>
            <w:vAlign w:val="center"/>
          </w:tcPr>
          <w:p>
            <w:pPr>
              <w:snapToGrid w:val="0"/>
              <w:jc w:val="center"/>
              <w:rPr>
                <w:rFonts w:ascii="宋体" w:hAnsi="宋体"/>
                <w:sz w:val="24"/>
              </w:rPr>
            </w:pPr>
            <w:r>
              <w:rPr>
                <w:rFonts w:hint="eastAsia" w:ascii="宋体" w:hAnsi="宋体"/>
                <w:sz w:val="24"/>
              </w:rPr>
              <w:t>5</w:t>
            </w:r>
            <w:r>
              <w:rPr>
                <w:rFonts w:ascii="宋体" w:hAnsi="宋体"/>
                <w:sz w:val="24"/>
              </w:rPr>
              <w:t>300</w:t>
            </w:r>
          </w:p>
        </w:tc>
        <w:tc>
          <w:tcPr>
            <w:tcW w:w="1843" w:type="dxa"/>
            <w:vAlign w:val="center"/>
          </w:tcPr>
          <w:p>
            <w:pPr>
              <w:snapToGrid w:val="0"/>
              <w:jc w:val="center"/>
              <w:rPr>
                <w:rFonts w:ascii="宋体" w:hAnsi="宋体"/>
                <w:sz w:val="24"/>
              </w:rPr>
            </w:pPr>
            <w:r>
              <w:rPr>
                <w:rFonts w:hint="eastAsia" w:ascii="宋体" w:hAnsi="宋体"/>
                <w:sz w:val="24"/>
              </w:rPr>
              <w:t>刘老师</w:t>
            </w:r>
          </w:p>
          <w:p>
            <w:pPr>
              <w:snapToGrid w:val="0"/>
              <w:jc w:val="center"/>
              <w:rPr>
                <w:rFonts w:ascii="宋体" w:hAnsi="宋体"/>
                <w:sz w:val="24"/>
              </w:rPr>
            </w:pPr>
            <w:r>
              <w:rPr>
                <w:rFonts w:hint="eastAsia" w:ascii="宋体" w:hAnsi="宋体"/>
                <w:sz w:val="24"/>
              </w:rPr>
              <w:t>1</w:t>
            </w:r>
            <w:r>
              <w:rPr>
                <w:rFonts w:ascii="宋体" w:hAnsi="宋体"/>
                <w:sz w:val="24"/>
              </w:rPr>
              <w:t>3651542551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7" w:type="dxa"/>
            <w:vMerge w:val="restart"/>
            <w:vAlign w:val="center"/>
          </w:tcPr>
          <w:p>
            <w:pPr>
              <w:jc w:val="center"/>
              <w:rPr>
                <w:rFonts w:ascii="宋体" w:hAnsi="宋体"/>
                <w:sz w:val="24"/>
              </w:rPr>
            </w:pPr>
            <w:r>
              <w:rPr>
                <w:rFonts w:hint="eastAsia" w:ascii="宋体" w:hAnsi="宋体"/>
                <w:sz w:val="24"/>
              </w:rPr>
              <w:t>中职第二批次</w:t>
            </w:r>
          </w:p>
        </w:tc>
        <w:tc>
          <w:tcPr>
            <w:tcW w:w="1933" w:type="dxa"/>
            <w:vMerge w:val="restart"/>
            <w:vAlign w:val="center"/>
          </w:tcPr>
          <w:p>
            <w:pPr>
              <w:jc w:val="center"/>
              <w:rPr>
                <w:rFonts w:ascii="宋体" w:hAnsi="宋体"/>
                <w:sz w:val="24"/>
              </w:rPr>
            </w:pPr>
            <w:r>
              <w:rPr>
                <w:rFonts w:hint="eastAsia" w:ascii="宋体" w:hAnsi="宋体"/>
                <w:sz w:val="24"/>
              </w:rPr>
              <w:t>机械</w:t>
            </w:r>
          </w:p>
        </w:tc>
        <w:tc>
          <w:tcPr>
            <w:tcW w:w="2183" w:type="dxa"/>
            <w:vAlign w:val="center"/>
          </w:tcPr>
          <w:p>
            <w:pPr>
              <w:jc w:val="center"/>
              <w:rPr>
                <w:rFonts w:ascii="宋体" w:hAnsi="宋体"/>
                <w:sz w:val="24"/>
              </w:rPr>
            </w:pPr>
            <w:r>
              <w:rPr>
                <w:rFonts w:hint="eastAsia" w:ascii="宋体" w:hAnsi="宋体"/>
                <w:sz w:val="24"/>
              </w:rPr>
              <w:t>智能控制技术</w:t>
            </w:r>
          </w:p>
        </w:tc>
        <w:tc>
          <w:tcPr>
            <w:tcW w:w="1243" w:type="dxa"/>
            <w:vAlign w:val="center"/>
          </w:tcPr>
          <w:p>
            <w:pPr>
              <w:jc w:val="center"/>
              <w:rPr>
                <w:rFonts w:ascii="宋体" w:hAnsi="宋体"/>
                <w:sz w:val="24"/>
              </w:rPr>
            </w:pPr>
            <w:r>
              <w:rPr>
                <w:rFonts w:ascii="宋体" w:hAnsi="宋体"/>
                <w:sz w:val="24"/>
              </w:rPr>
              <w:t>20</w:t>
            </w:r>
          </w:p>
        </w:tc>
        <w:tc>
          <w:tcPr>
            <w:tcW w:w="1317" w:type="dxa"/>
            <w:vAlign w:val="center"/>
          </w:tcPr>
          <w:p>
            <w:pPr>
              <w:jc w:val="center"/>
              <w:rPr>
                <w:rFonts w:ascii="宋体" w:hAnsi="宋体"/>
                <w:sz w:val="24"/>
              </w:rPr>
            </w:pPr>
            <w:r>
              <w:rPr>
                <w:rFonts w:hint="eastAsia" w:ascii="宋体" w:hAnsi="宋体"/>
                <w:sz w:val="24"/>
              </w:rPr>
              <w:t>5</w:t>
            </w:r>
            <w:r>
              <w:rPr>
                <w:rFonts w:ascii="宋体" w:hAnsi="宋体"/>
                <w:sz w:val="24"/>
              </w:rPr>
              <w:t>300</w:t>
            </w:r>
          </w:p>
        </w:tc>
        <w:tc>
          <w:tcPr>
            <w:tcW w:w="1843" w:type="dxa"/>
          </w:tcPr>
          <w:p>
            <w:pPr>
              <w:jc w:val="center"/>
              <w:rPr>
                <w:rFonts w:ascii="宋体" w:hAnsi="宋体"/>
                <w:sz w:val="24"/>
              </w:rPr>
            </w:pPr>
            <w:r>
              <w:rPr>
                <w:rFonts w:hint="eastAsia" w:ascii="宋体" w:hAnsi="宋体"/>
                <w:sz w:val="24"/>
              </w:rPr>
              <w:t>张老师</w:t>
            </w:r>
          </w:p>
          <w:p>
            <w:pPr>
              <w:jc w:val="center"/>
              <w:rPr>
                <w:rFonts w:ascii="宋体" w:hAnsi="宋体"/>
                <w:sz w:val="24"/>
              </w:rPr>
            </w:pPr>
            <w:r>
              <w:rPr>
                <w:rFonts w:hint="eastAsia" w:ascii="宋体" w:hAnsi="宋体"/>
                <w:sz w:val="24"/>
              </w:rPr>
              <w:t>1</w:t>
            </w:r>
            <w:r>
              <w:rPr>
                <w:rFonts w:ascii="宋体" w:hAnsi="宋体"/>
                <w:sz w:val="24"/>
              </w:rPr>
              <w:t>5189655546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7" w:type="dxa"/>
            <w:vMerge w:val="continue"/>
            <w:vAlign w:val="center"/>
          </w:tcPr>
          <w:p>
            <w:pPr>
              <w:jc w:val="center"/>
              <w:rPr>
                <w:rFonts w:ascii="宋体" w:hAnsi="宋体"/>
                <w:sz w:val="24"/>
              </w:rPr>
            </w:pPr>
          </w:p>
        </w:tc>
        <w:tc>
          <w:tcPr>
            <w:tcW w:w="1933" w:type="dxa"/>
            <w:vMerge w:val="continue"/>
            <w:vAlign w:val="center"/>
          </w:tcPr>
          <w:p>
            <w:pPr>
              <w:jc w:val="center"/>
              <w:rPr>
                <w:rFonts w:ascii="宋体" w:hAnsi="宋体"/>
                <w:sz w:val="24"/>
              </w:rPr>
            </w:pPr>
          </w:p>
        </w:tc>
        <w:tc>
          <w:tcPr>
            <w:tcW w:w="2183" w:type="dxa"/>
            <w:vAlign w:val="center"/>
          </w:tcPr>
          <w:p>
            <w:pPr>
              <w:jc w:val="center"/>
              <w:rPr>
                <w:rFonts w:ascii="宋体" w:hAnsi="宋体"/>
                <w:sz w:val="24"/>
              </w:rPr>
            </w:pPr>
            <w:r>
              <w:rPr>
                <w:rFonts w:hint="eastAsia" w:ascii="宋体" w:hAnsi="宋体"/>
                <w:sz w:val="24"/>
              </w:rPr>
              <w:t>制药设备应用技术</w:t>
            </w:r>
          </w:p>
        </w:tc>
        <w:tc>
          <w:tcPr>
            <w:tcW w:w="1243" w:type="dxa"/>
            <w:vAlign w:val="center"/>
          </w:tcPr>
          <w:p>
            <w:pPr>
              <w:jc w:val="center"/>
              <w:rPr>
                <w:rFonts w:ascii="宋体" w:hAnsi="宋体"/>
                <w:sz w:val="24"/>
              </w:rPr>
            </w:pPr>
            <w:r>
              <w:rPr>
                <w:rFonts w:hint="eastAsia" w:ascii="宋体" w:hAnsi="宋体"/>
                <w:sz w:val="24"/>
              </w:rPr>
              <w:t>2</w:t>
            </w:r>
            <w:r>
              <w:rPr>
                <w:rFonts w:ascii="宋体" w:hAnsi="宋体"/>
                <w:sz w:val="24"/>
              </w:rPr>
              <w:t>0</w:t>
            </w:r>
          </w:p>
        </w:tc>
        <w:tc>
          <w:tcPr>
            <w:tcW w:w="1317" w:type="dxa"/>
            <w:vAlign w:val="center"/>
          </w:tcPr>
          <w:p>
            <w:pPr>
              <w:jc w:val="center"/>
              <w:rPr>
                <w:rFonts w:ascii="宋体" w:hAnsi="宋体"/>
                <w:sz w:val="24"/>
              </w:rPr>
            </w:pPr>
            <w:r>
              <w:rPr>
                <w:rFonts w:hint="eastAsia" w:ascii="宋体" w:hAnsi="宋体"/>
                <w:sz w:val="24"/>
              </w:rPr>
              <w:t>5</w:t>
            </w:r>
            <w:r>
              <w:rPr>
                <w:rFonts w:ascii="宋体" w:hAnsi="宋体"/>
                <w:sz w:val="24"/>
              </w:rPr>
              <w:t>300</w:t>
            </w:r>
          </w:p>
        </w:tc>
        <w:tc>
          <w:tcPr>
            <w:tcW w:w="1843" w:type="dxa"/>
          </w:tcPr>
          <w:p>
            <w:pPr>
              <w:jc w:val="center"/>
              <w:rPr>
                <w:rFonts w:ascii="宋体" w:hAnsi="宋体"/>
                <w:sz w:val="24"/>
              </w:rPr>
            </w:pPr>
            <w:r>
              <w:rPr>
                <w:rFonts w:hint="eastAsia" w:ascii="宋体" w:hAnsi="宋体"/>
                <w:sz w:val="24"/>
              </w:rPr>
              <w:t>刘老师</w:t>
            </w:r>
          </w:p>
          <w:p>
            <w:pPr>
              <w:jc w:val="center"/>
              <w:rPr>
                <w:rFonts w:ascii="宋体" w:hAnsi="宋体"/>
                <w:sz w:val="24"/>
              </w:rPr>
            </w:pPr>
            <w:r>
              <w:rPr>
                <w:rFonts w:hint="eastAsia" w:ascii="宋体" w:hAnsi="宋体"/>
                <w:sz w:val="24"/>
              </w:rPr>
              <w:t>1</w:t>
            </w:r>
            <w:r>
              <w:rPr>
                <w:rFonts w:ascii="宋体" w:hAnsi="宋体"/>
                <w:sz w:val="24"/>
              </w:rPr>
              <w:t>8762542078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7" w:type="dxa"/>
            <w:vMerge w:val="continue"/>
            <w:vAlign w:val="center"/>
          </w:tcPr>
          <w:p>
            <w:pPr>
              <w:jc w:val="center"/>
              <w:rPr>
                <w:rFonts w:ascii="宋体" w:hAnsi="宋体"/>
                <w:sz w:val="24"/>
              </w:rPr>
            </w:pPr>
          </w:p>
        </w:tc>
        <w:tc>
          <w:tcPr>
            <w:tcW w:w="1933" w:type="dxa"/>
            <w:vMerge w:val="restart"/>
            <w:vAlign w:val="center"/>
          </w:tcPr>
          <w:p>
            <w:pPr>
              <w:jc w:val="center"/>
              <w:rPr>
                <w:rFonts w:ascii="宋体" w:hAnsi="宋体"/>
                <w:sz w:val="24"/>
              </w:rPr>
            </w:pPr>
            <w:r>
              <w:rPr>
                <w:rFonts w:hint="eastAsia" w:ascii="宋体" w:hAnsi="宋体"/>
                <w:sz w:val="24"/>
              </w:rPr>
              <w:t>机电一体化</w:t>
            </w:r>
          </w:p>
        </w:tc>
        <w:tc>
          <w:tcPr>
            <w:tcW w:w="2183" w:type="dxa"/>
            <w:vAlign w:val="center"/>
          </w:tcPr>
          <w:p>
            <w:pPr>
              <w:jc w:val="center"/>
              <w:rPr>
                <w:rFonts w:ascii="宋体" w:hAnsi="宋体"/>
                <w:sz w:val="24"/>
              </w:rPr>
            </w:pPr>
            <w:r>
              <w:rPr>
                <w:rFonts w:hint="eastAsia" w:ascii="宋体" w:hAnsi="宋体"/>
                <w:sz w:val="24"/>
              </w:rPr>
              <w:t>智能控制技术</w:t>
            </w:r>
          </w:p>
        </w:tc>
        <w:tc>
          <w:tcPr>
            <w:tcW w:w="1243" w:type="dxa"/>
            <w:vAlign w:val="center"/>
          </w:tcPr>
          <w:p>
            <w:pPr>
              <w:jc w:val="center"/>
              <w:rPr>
                <w:rFonts w:ascii="宋体" w:hAnsi="宋体"/>
                <w:sz w:val="24"/>
              </w:rPr>
            </w:pPr>
            <w:r>
              <w:rPr>
                <w:rFonts w:hint="eastAsia" w:ascii="宋体" w:hAnsi="宋体"/>
                <w:sz w:val="24"/>
              </w:rPr>
              <w:t>3</w:t>
            </w:r>
            <w:r>
              <w:rPr>
                <w:rFonts w:ascii="宋体" w:hAnsi="宋体"/>
                <w:sz w:val="24"/>
              </w:rPr>
              <w:t>0</w:t>
            </w:r>
          </w:p>
        </w:tc>
        <w:tc>
          <w:tcPr>
            <w:tcW w:w="1317" w:type="dxa"/>
            <w:vAlign w:val="center"/>
          </w:tcPr>
          <w:p>
            <w:pPr>
              <w:jc w:val="center"/>
              <w:rPr>
                <w:rFonts w:ascii="宋体" w:hAnsi="宋体"/>
                <w:sz w:val="24"/>
              </w:rPr>
            </w:pPr>
            <w:r>
              <w:rPr>
                <w:rFonts w:hint="eastAsia" w:ascii="宋体" w:hAnsi="宋体"/>
                <w:sz w:val="24"/>
              </w:rPr>
              <w:t>5</w:t>
            </w:r>
            <w:r>
              <w:rPr>
                <w:rFonts w:ascii="宋体" w:hAnsi="宋体"/>
                <w:sz w:val="24"/>
              </w:rPr>
              <w:t>300</w:t>
            </w:r>
          </w:p>
        </w:tc>
        <w:tc>
          <w:tcPr>
            <w:tcW w:w="1843" w:type="dxa"/>
          </w:tcPr>
          <w:p>
            <w:pPr>
              <w:jc w:val="center"/>
              <w:rPr>
                <w:rFonts w:ascii="宋体" w:hAnsi="宋体"/>
                <w:sz w:val="24"/>
              </w:rPr>
            </w:pPr>
            <w:r>
              <w:rPr>
                <w:rFonts w:hint="eastAsia" w:ascii="宋体" w:hAnsi="宋体"/>
                <w:sz w:val="24"/>
              </w:rPr>
              <w:t>张老师</w:t>
            </w:r>
          </w:p>
          <w:p>
            <w:pPr>
              <w:jc w:val="center"/>
              <w:rPr>
                <w:rFonts w:ascii="宋体" w:hAnsi="宋体"/>
                <w:sz w:val="24"/>
              </w:rPr>
            </w:pPr>
            <w:r>
              <w:rPr>
                <w:rFonts w:hint="eastAsia" w:ascii="宋体" w:hAnsi="宋体"/>
                <w:sz w:val="24"/>
              </w:rPr>
              <w:t>1</w:t>
            </w:r>
            <w:r>
              <w:rPr>
                <w:rFonts w:ascii="宋体" w:hAnsi="宋体"/>
                <w:sz w:val="24"/>
              </w:rPr>
              <w:t>5189655546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7" w:type="dxa"/>
            <w:vMerge w:val="continue"/>
            <w:vAlign w:val="center"/>
          </w:tcPr>
          <w:p>
            <w:pPr>
              <w:jc w:val="center"/>
              <w:rPr>
                <w:rFonts w:ascii="宋体" w:hAnsi="宋体"/>
                <w:sz w:val="24"/>
              </w:rPr>
            </w:pPr>
          </w:p>
        </w:tc>
        <w:tc>
          <w:tcPr>
            <w:tcW w:w="1933" w:type="dxa"/>
            <w:vMerge w:val="continue"/>
            <w:vAlign w:val="center"/>
          </w:tcPr>
          <w:p>
            <w:pPr>
              <w:jc w:val="center"/>
              <w:rPr>
                <w:rFonts w:ascii="宋体" w:hAnsi="宋体"/>
                <w:sz w:val="24"/>
              </w:rPr>
            </w:pPr>
          </w:p>
        </w:tc>
        <w:tc>
          <w:tcPr>
            <w:tcW w:w="2183" w:type="dxa"/>
            <w:vAlign w:val="center"/>
          </w:tcPr>
          <w:p>
            <w:pPr>
              <w:jc w:val="center"/>
              <w:rPr>
                <w:rFonts w:ascii="宋体" w:hAnsi="宋体"/>
                <w:sz w:val="24"/>
              </w:rPr>
            </w:pPr>
            <w:r>
              <w:rPr>
                <w:rFonts w:hint="eastAsia" w:ascii="宋体" w:hAnsi="宋体"/>
                <w:sz w:val="24"/>
              </w:rPr>
              <w:t>电气自动化技术</w:t>
            </w:r>
          </w:p>
        </w:tc>
        <w:tc>
          <w:tcPr>
            <w:tcW w:w="1243" w:type="dxa"/>
            <w:vAlign w:val="center"/>
          </w:tcPr>
          <w:p>
            <w:pPr>
              <w:jc w:val="center"/>
              <w:rPr>
                <w:rFonts w:ascii="宋体" w:hAnsi="宋体"/>
                <w:sz w:val="24"/>
              </w:rPr>
            </w:pPr>
            <w:r>
              <w:rPr>
                <w:rFonts w:ascii="宋体" w:hAnsi="宋体"/>
                <w:sz w:val="24"/>
              </w:rPr>
              <w:t>80</w:t>
            </w:r>
          </w:p>
        </w:tc>
        <w:tc>
          <w:tcPr>
            <w:tcW w:w="1317" w:type="dxa"/>
            <w:vAlign w:val="center"/>
          </w:tcPr>
          <w:p>
            <w:pPr>
              <w:jc w:val="center"/>
              <w:rPr>
                <w:rFonts w:ascii="宋体" w:hAnsi="宋体"/>
                <w:sz w:val="24"/>
              </w:rPr>
            </w:pPr>
            <w:r>
              <w:rPr>
                <w:rFonts w:hint="eastAsia" w:ascii="宋体" w:hAnsi="宋体"/>
                <w:sz w:val="24"/>
              </w:rPr>
              <w:t>5</w:t>
            </w:r>
            <w:r>
              <w:rPr>
                <w:rFonts w:ascii="宋体" w:hAnsi="宋体"/>
                <w:sz w:val="24"/>
              </w:rPr>
              <w:t>300</w:t>
            </w:r>
          </w:p>
        </w:tc>
        <w:tc>
          <w:tcPr>
            <w:tcW w:w="1843" w:type="dxa"/>
          </w:tcPr>
          <w:p>
            <w:pPr>
              <w:jc w:val="center"/>
              <w:rPr>
                <w:rFonts w:ascii="宋体" w:hAnsi="宋体"/>
                <w:sz w:val="24"/>
              </w:rPr>
            </w:pPr>
            <w:r>
              <w:rPr>
                <w:rFonts w:hint="eastAsia" w:ascii="宋体" w:hAnsi="宋体"/>
                <w:sz w:val="24"/>
              </w:rPr>
              <w:t>殷老师</w:t>
            </w:r>
          </w:p>
          <w:p>
            <w:pPr>
              <w:jc w:val="center"/>
              <w:rPr>
                <w:rFonts w:ascii="宋体" w:hAnsi="宋体"/>
                <w:sz w:val="24"/>
              </w:rPr>
            </w:pPr>
            <w:r>
              <w:rPr>
                <w:rFonts w:hint="eastAsia" w:ascii="宋体" w:hAnsi="宋体"/>
                <w:sz w:val="24"/>
              </w:rPr>
              <w:t>1</w:t>
            </w:r>
            <w:r>
              <w:rPr>
                <w:rFonts w:ascii="宋体" w:hAnsi="宋体"/>
                <w:sz w:val="24"/>
              </w:rPr>
              <w:t>5861787718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7" w:type="dxa"/>
            <w:vMerge w:val="continue"/>
            <w:vAlign w:val="center"/>
          </w:tcPr>
          <w:p>
            <w:pPr>
              <w:jc w:val="center"/>
              <w:rPr>
                <w:rFonts w:ascii="宋体" w:hAnsi="宋体"/>
                <w:sz w:val="24"/>
              </w:rPr>
            </w:pPr>
          </w:p>
        </w:tc>
        <w:tc>
          <w:tcPr>
            <w:tcW w:w="1933" w:type="dxa"/>
            <w:vAlign w:val="center"/>
          </w:tcPr>
          <w:p>
            <w:pPr>
              <w:jc w:val="center"/>
              <w:rPr>
                <w:rFonts w:ascii="宋体" w:hAnsi="宋体"/>
                <w:sz w:val="24"/>
              </w:rPr>
            </w:pPr>
            <w:r>
              <w:rPr>
                <w:rFonts w:hint="eastAsia" w:ascii="宋体" w:hAnsi="宋体"/>
                <w:sz w:val="24"/>
              </w:rPr>
              <w:t>电子电工</w:t>
            </w:r>
          </w:p>
        </w:tc>
        <w:tc>
          <w:tcPr>
            <w:tcW w:w="2183" w:type="dxa"/>
            <w:vAlign w:val="center"/>
          </w:tcPr>
          <w:p>
            <w:pPr>
              <w:jc w:val="center"/>
              <w:rPr>
                <w:rFonts w:ascii="宋体" w:hAnsi="宋体"/>
                <w:sz w:val="24"/>
              </w:rPr>
            </w:pPr>
            <w:r>
              <w:rPr>
                <w:rFonts w:hint="eastAsia" w:ascii="宋体" w:hAnsi="宋体"/>
                <w:sz w:val="24"/>
              </w:rPr>
              <w:t>电气自动化技术</w:t>
            </w:r>
          </w:p>
        </w:tc>
        <w:tc>
          <w:tcPr>
            <w:tcW w:w="1243" w:type="dxa"/>
            <w:vAlign w:val="center"/>
          </w:tcPr>
          <w:p>
            <w:pPr>
              <w:jc w:val="center"/>
              <w:rPr>
                <w:rFonts w:ascii="宋体" w:hAnsi="宋体"/>
                <w:sz w:val="24"/>
              </w:rPr>
            </w:pPr>
            <w:r>
              <w:rPr>
                <w:rFonts w:hint="eastAsia" w:ascii="宋体" w:hAnsi="宋体"/>
                <w:sz w:val="24"/>
              </w:rPr>
              <w:t>7</w:t>
            </w:r>
            <w:r>
              <w:rPr>
                <w:rFonts w:ascii="宋体" w:hAnsi="宋体"/>
                <w:sz w:val="24"/>
              </w:rPr>
              <w:t>0</w:t>
            </w:r>
          </w:p>
        </w:tc>
        <w:tc>
          <w:tcPr>
            <w:tcW w:w="1317" w:type="dxa"/>
            <w:vAlign w:val="center"/>
          </w:tcPr>
          <w:p>
            <w:pPr>
              <w:jc w:val="center"/>
              <w:rPr>
                <w:rFonts w:ascii="宋体" w:hAnsi="宋体"/>
                <w:sz w:val="24"/>
              </w:rPr>
            </w:pPr>
            <w:r>
              <w:rPr>
                <w:rFonts w:hint="eastAsia" w:ascii="宋体" w:hAnsi="宋体"/>
                <w:sz w:val="24"/>
              </w:rPr>
              <w:t>5</w:t>
            </w:r>
            <w:r>
              <w:rPr>
                <w:rFonts w:ascii="宋体" w:hAnsi="宋体"/>
                <w:sz w:val="24"/>
              </w:rPr>
              <w:t>300</w:t>
            </w:r>
          </w:p>
        </w:tc>
        <w:tc>
          <w:tcPr>
            <w:tcW w:w="1843" w:type="dxa"/>
          </w:tcPr>
          <w:p>
            <w:pPr>
              <w:jc w:val="center"/>
              <w:rPr>
                <w:rFonts w:ascii="宋体" w:hAnsi="宋体"/>
                <w:sz w:val="24"/>
              </w:rPr>
            </w:pPr>
            <w:r>
              <w:rPr>
                <w:rFonts w:hint="eastAsia" w:ascii="宋体" w:hAnsi="宋体"/>
                <w:sz w:val="24"/>
              </w:rPr>
              <w:t>殷老师</w:t>
            </w:r>
          </w:p>
          <w:p>
            <w:pPr>
              <w:jc w:val="center"/>
              <w:rPr>
                <w:rFonts w:ascii="宋体" w:hAnsi="宋体"/>
                <w:sz w:val="24"/>
              </w:rPr>
            </w:pPr>
            <w:r>
              <w:rPr>
                <w:rFonts w:hint="eastAsia" w:ascii="宋体" w:hAnsi="宋体"/>
                <w:sz w:val="24"/>
              </w:rPr>
              <w:t>1</w:t>
            </w:r>
            <w:r>
              <w:rPr>
                <w:rFonts w:ascii="宋体" w:hAnsi="宋体"/>
                <w:sz w:val="24"/>
              </w:rPr>
              <w:t>5861787718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7" w:type="dxa"/>
            <w:vMerge w:val="continue"/>
            <w:vAlign w:val="center"/>
          </w:tcPr>
          <w:p>
            <w:pPr>
              <w:jc w:val="center"/>
              <w:rPr>
                <w:rFonts w:ascii="宋体" w:hAnsi="宋体"/>
                <w:sz w:val="24"/>
              </w:rPr>
            </w:pPr>
          </w:p>
        </w:tc>
        <w:tc>
          <w:tcPr>
            <w:tcW w:w="1933" w:type="dxa"/>
            <w:vAlign w:val="center"/>
          </w:tcPr>
          <w:p>
            <w:pPr>
              <w:jc w:val="center"/>
              <w:rPr>
                <w:rFonts w:ascii="宋体" w:hAnsi="宋体"/>
                <w:sz w:val="24"/>
              </w:rPr>
            </w:pPr>
            <w:r>
              <w:rPr>
                <w:rFonts w:hint="eastAsia" w:ascii="宋体" w:hAnsi="宋体"/>
                <w:sz w:val="24"/>
              </w:rPr>
              <w:t>药品</w:t>
            </w:r>
          </w:p>
        </w:tc>
        <w:tc>
          <w:tcPr>
            <w:tcW w:w="2183" w:type="dxa"/>
            <w:vAlign w:val="center"/>
          </w:tcPr>
          <w:p>
            <w:pPr>
              <w:jc w:val="center"/>
              <w:rPr>
                <w:rFonts w:ascii="宋体" w:hAnsi="宋体"/>
                <w:sz w:val="24"/>
              </w:rPr>
            </w:pPr>
            <w:r>
              <w:rPr>
                <w:rFonts w:hint="eastAsia" w:ascii="宋体" w:hAnsi="宋体"/>
                <w:sz w:val="24"/>
              </w:rPr>
              <w:t>制药设备应用技术</w:t>
            </w:r>
          </w:p>
        </w:tc>
        <w:tc>
          <w:tcPr>
            <w:tcW w:w="1243" w:type="dxa"/>
            <w:vAlign w:val="center"/>
          </w:tcPr>
          <w:p>
            <w:pPr>
              <w:jc w:val="center"/>
              <w:rPr>
                <w:rFonts w:ascii="宋体" w:hAnsi="宋体"/>
                <w:sz w:val="24"/>
              </w:rPr>
            </w:pPr>
            <w:r>
              <w:rPr>
                <w:rFonts w:hint="eastAsia" w:ascii="宋体" w:hAnsi="宋体"/>
                <w:sz w:val="24"/>
              </w:rPr>
              <w:t>2</w:t>
            </w:r>
            <w:r>
              <w:rPr>
                <w:rFonts w:ascii="宋体" w:hAnsi="宋体"/>
                <w:sz w:val="24"/>
              </w:rPr>
              <w:t>0</w:t>
            </w:r>
          </w:p>
        </w:tc>
        <w:tc>
          <w:tcPr>
            <w:tcW w:w="1317" w:type="dxa"/>
            <w:vAlign w:val="center"/>
          </w:tcPr>
          <w:p>
            <w:pPr>
              <w:jc w:val="center"/>
              <w:rPr>
                <w:rFonts w:ascii="宋体" w:hAnsi="宋体"/>
                <w:sz w:val="24"/>
              </w:rPr>
            </w:pPr>
            <w:r>
              <w:rPr>
                <w:rFonts w:hint="eastAsia" w:ascii="宋体" w:hAnsi="宋体"/>
                <w:sz w:val="24"/>
              </w:rPr>
              <w:t>5</w:t>
            </w:r>
            <w:r>
              <w:rPr>
                <w:rFonts w:ascii="宋体" w:hAnsi="宋体"/>
                <w:sz w:val="24"/>
              </w:rPr>
              <w:t>300</w:t>
            </w:r>
          </w:p>
        </w:tc>
        <w:tc>
          <w:tcPr>
            <w:tcW w:w="1843" w:type="dxa"/>
          </w:tcPr>
          <w:p>
            <w:pPr>
              <w:jc w:val="center"/>
              <w:rPr>
                <w:rFonts w:ascii="宋体" w:hAnsi="宋体"/>
                <w:sz w:val="24"/>
              </w:rPr>
            </w:pPr>
            <w:r>
              <w:rPr>
                <w:rFonts w:hint="eastAsia" w:ascii="宋体" w:hAnsi="宋体"/>
                <w:sz w:val="24"/>
              </w:rPr>
              <w:t>刘老师</w:t>
            </w:r>
          </w:p>
          <w:p>
            <w:pPr>
              <w:jc w:val="center"/>
              <w:rPr>
                <w:rFonts w:ascii="宋体" w:hAnsi="宋体"/>
                <w:sz w:val="24"/>
              </w:rPr>
            </w:pPr>
            <w:r>
              <w:rPr>
                <w:rFonts w:hint="eastAsia" w:ascii="宋体" w:hAnsi="宋体"/>
                <w:sz w:val="24"/>
              </w:rPr>
              <w:t>1</w:t>
            </w:r>
            <w:r>
              <w:rPr>
                <w:rFonts w:ascii="宋体" w:hAnsi="宋体"/>
                <w:sz w:val="24"/>
              </w:rPr>
              <w:t>8762542078</w:t>
            </w:r>
          </w:p>
        </w:tc>
      </w:tr>
    </w:tbl>
    <w:p>
      <w:pPr>
        <w:spacing w:line="360" w:lineRule="auto"/>
        <w:ind w:firstLine="480" w:firstLineChars="200"/>
        <w:rPr>
          <w:rFonts w:ascii="黑体" w:hAnsi="黑体" w:eastAsia="黑体"/>
          <w:color w:val="FF0000"/>
          <w:sz w:val="24"/>
        </w:rPr>
      </w:pPr>
      <w:r>
        <w:rPr>
          <w:rFonts w:hint="eastAsia" w:ascii="黑体" w:hAnsi="黑体" w:eastAsia="黑体"/>
          <w:color w:val="FF0000"/>
          <w:sz w:val="24"/>
        </w:rPr>
        <w:t>（实际招生计划以省考试院核定公布为准）</w:t>
      </w:r>
    </w:p>
    <w:p>
      <w:pPr>
        <w:spacing w:line="360" w:lineRule="auto"/>
        <w:ind w:firstLine="560" w:firstLineChars="200"/>
        <w:rPr>
          <w:rFonts w:ascii="黑体" w:hAnsi="黑体" w:eastAsia="黑体"/>
          <w:sz w:val="28"/>
          <w:szCs w:val="28"/>
        </w:rPr>
      </w:pPr>
      <w:r>
        <w:rPr>
          <w:rFonts w:hint="eastAsia" w:ascii="黑体" w:hAnsi="黑体" w:eastAsia="黑体"/>
          <w:sz w:val="28"/>
          <w:szCs w:val="28"/>
        </w:rPr>
        <w:t>三、就业与升学</w:t>
      </w:r>
    </w:p>
    <w:p>
      <w:pPr>
        <w:spacing w:line="300" w:lineRule="auto"/>
        <w:ind w:firstLine="420" w:firstLineChars="200"/>
      </w:pPr>
      <w:r>
        <w:t>就业易——我国是制造业大国，企业需要更多高素质技术技能型人才，我们的毕业生很受欢迎。</w:t>
      </w:r>
    </w:p>
    <w:p>
      <w:pPr>
        <w:spacing w:line="300" w:lineRule="auto"/>
        <w:ind w:firstLine="420" w:firstLineChars="200"/>
        <w:rPr>
          <w:rFonts w:ascii="宋体" w:hAnsi="宋体"/>
          <w:szCs w:val="21"/>
        </w:rPr>
      </w:pPr>
      <w:r>
        <w:rPr>
          <w:rFonts w:hint="eastAsia" w:ascii="宋体" w:hAnsi="宋体"/>
          <w:szCs w:val="21"/>
        </w:rPr>
        <w:t>在国家大力发展高端装备、智能装备的背景下，机电学院毕业生的就业前景非常乐观。毕业生广受行业和企业的欢迎，毕业生100%可被推荐就业。</w:t>
      </w:r>
      <w:r>
        <w:rPr>
          <w:rFonts w:ascii="宋体" w:hAnsi="宋体"/>
          <w:szCs w:val="21"/>
        </w:rPr>
        <w:t>近年来，毕业生一直供不应求，毕业生起薪</w:t>
      </w:r>
      <w:r>
        <w:rPr>
          <w:rFonts w:hint="eastAsia" w:ascii="宋体" w:hAnsi="宋体"/>
          <w:szCs w:val="21"/>
        </w:rPr>
        <w:t>5</w:t>
      </w:r>
      <w:r>
        <w:rPr>
          <w:rFonts w:ascii="宋体" w:hAnsi="宋体"/>
          <w:szCs w:val="21"/>
        </w:rPr>
        <w:t>000元</w:t>
      </w:r>
      <w:r>
        <w:rPr>
          <w:rFonts w:hint="eastAsia" w:ascii="宋体" w:hAnsi="宋体"/>
          <w:szCs w:val="21"/>
        </w:rPr>
        <w:t>以上</w:t>
      </w:r>
      <w:r>
        <w:rPr>
          <w:rFonts w:ascii="宋体" w:hAnsi="宋体"/>
          <w:szCs w:val="21"/>
        </w:rPr>
        <w:t>，</w:t>
      </w:r>
      <w:r>
        <w:rPr>
          <w:rFonts w:hint="eastAsia" w:ascii="宋体" w:hAnsi="宋体"/>
          <w:szCs w:val="21"/>
        </w:rPr>
        <w:t>大多数学生能达到8</w:t>
      </w:r>
      <w:r>
        <w:rPr>
          <w:rFonts w:ascii="宋体" w:hAnsi="宋体"/>
          <w:szCs w:val="21"/>
        </w:rPr>
        <w:t>000元</w:t>
      </w:r>
      <w:r>
        <w:rPr>
          <w:rFonts w:hint="eastAsia" w:ascii="宋体" w:hAnsi="宋体"/>
          <w:szCs w:val="21"/>
        </w:rPr>
        <w:t>以上标准</w:t>
      </w:r>
      <w:r>
        <w:rPr>
          <w:rFonts w:ascii="宋体" w:hAnsi="宋体"/>
          <w:szCs w:val="21"/>
        </w:rPr>
        <w:t>，优秀毕业生</w:t>
      </w:r>
      <w:r>
        <w:rPr>
          <w:rFonts w:hint="eastAsia" w:ascii="宋体" w:hAnsi="宋体"/>
          <w:szCs w:val="21"/>
        </w:rPr>
        <w:t>起薪</w:t>
      </w:r>
      <w:r>
        <w:rPr>
          <w:rFonts w:ascii="宋体" w:hAnsi="宋体"/>
          <w:szCs w:val="21"/>
        </w:rPr>
        <w:t>达1</w:t>
      </w:r>
      <w:r>
        <w:rPr>
          <w:rFonts w:hint="eastAsia" w:ascii="宋体" w:hAnsi="宋体"/>
          <w:szCs w:val="21"/>
        </w:rPr>
        <w:t>5</w:t>
      </w:r>
      <w:r>
        <w:rPr>
          <w:rFonts w:ascii="宋体" w:hAnsi="宋体"/>
          <w:szCs w:val="21"/>
        </w:rPr>
        <w:t>万</w:t>
      </w:r>
      <w:r>
        <w:rPr>
          <w:rFonts w:hint="eastAsia" w:ascii="宋体" w:hAnsi="宋体"/>
          <w:szCs w:val="21"/>
        </w:rPr>
        <w:t>元/年以上</w:t>
      </w:r>
      <w:r>
        <w:rPr>
          <w:rFonts w:ascii="宋体" w:hAnsi="宋体"/>
          <w:szCs w:val="21"/>
        </w:rPr>
        <w:t>。</w:t>
      </w:r>
    </w:p>
    <w:p>
      <w:pPr>
        <w:spacing w:line="300" w:lineRule="auto"/>
        <w:ind w:firstLine="420" w:firstLineChars="200"/>
        <w:rPr>
          <w:rFonts w:ascii="宋体" w:hAnsi="宋体"/>
          <w:szCs w:val="21"/>
        </w:rPr>
      </w:pPr>
      <w:r>
        <w:rPr>
          <w:rFonts w:hint="eastAsia" w:ascii="宋体" w:hAnsi="宋体"/>
          <w:szCs w:val="21"/>
        </w:rPr>
        <w:t>目前，机电学院毕业生们正活跃在江苏中烟工业有限公司、亿滋食品苏州有限公司、上海大众南京汽车有限公司、扬子江药业集团、正大天晴药业集团股份有限公司、南京中电熊猫液晶显示科技有限公司、可口可乐中国有限公司等大型企业以及相关的先进生产制造行业。</w:t>
      </w:r>
    </w:p>
    <w:tbl>
      <w:tblPr>
        <w:tblStyle w:val="12"/>
        <w:tblW w:w="8897"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970"/>
        <w:gridCol w:w="2937"/>
        <w:gridCol w:w="29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970" w:type="dxa"/>
          </w:tcPr>
          <w:p>
            <w:pPr>
              <w:spacing w:line="360" w:lineRule="auto"/>
              <w:jc w:val="center"/>
              <w:rPr>
                <w:rFonts w:ascii="宋体" w:hAnsi="宋体"/>
                <w:szCs w:val="21"/>
              </w:rPr>
            </w:pPr>
            <w:r>
              <w:drawing>
                <wp:inline distT="0" distB="0" distL="0" distR="0">
                  <wp:extent cx="1439545" cy="1929130"/>
                  <wp:effectExtent l="0" t="0" r="0" b="0"/>
                  <wp:docPr id="3" name="图片 1" descr="C:\Users\Administrator\Documents\Tencent Files\23753585\FileRecv\MobileFile\IMG_0417(20200115-14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C:\Users\Administrator\Documents\Tencent Files\23753585\FileRecv\MobileFile\IMG_0417(20200115-143441).JPG"/>
                          <pic:cNvPicPr>
                            <a:picLocks noChangeAspect="1" noChangeArrowheads="1"/>
                          </pic:cNvPicPr>
                        </pic:nvPicPr>
                        <pic:blipFill>
                          <a:blip r:embed="rId5"/>
                          <a:srcRect/>
                          <a:stretch>
                            <a:fillRect/>
                          </a:stretch>
                        </pic:blipFill>
                        <pic:spPr>
                          <a:xfrm>
                            <a:off x="0" y="0"/>
                            <a:ext cx="1440000" cy="1929600"/>
                          </a:xfrm>
                          <a:prstGeom prst="rect">
                            <a:avLst/>
                          </a:prstGeom>
                          <a:noFill/>
                          <a:ln w="9525">
                            <a:noFill/>
                            <a:miter lim="800000"/>
                            <a:headEnd/>
                            <a:tailEnd/>
                          </a:ln>
                        </pic:spPr>
                      </pic:pic>
                    </a:graphicData>
                  </a:graphic>
                </wp:inline>
              </w:drawing>
            </w:r>
          </w:p>
        </w:tc>
        <w:tc>
          <w:tcPr>
            <w:tcW w:w="2937" w:type="dxa"/>
          </w:tcPr>
          <w:p>
            <w:pPr>
              <w:spacing w:line="360" w:lineRule="auto"/>
              <w:jc w:val="center"/>
              <w:rPr>
                <w:rFonts w:ascii="宋体" w:hAnsi="宋体"/>
                <w:szCs w:val="21"/>
              </w:rPr>
            </w:pPr>
            <w:r>
              <w:drawing>
                <wp:inline distT="0" distB="0" distL="0" distR="0">
                  <wp:extent cx="1439545" cy="1929130"/>
                  <wp:effectExtent l="0" t="0" r="0" b="0"/>
                  <wp:docPr id="9" name="图片 3" descr="C:\Users\Administrator\Documents\Tencent Files\23753585\FileRecv\MobileFile\IMG_0419(20200115-14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C:\Users\Administrator\Documents\Tencent Files\23753585\FileRecv\MobileFile\IMG_0419(20200115-144803).JPG"/>
                          <pic:cNvPicPr>
                            <a:picLocks noChangeAspect="1" noChangeArrowheads="1"/>
                          </pic:cNvPicPr>
                        </pic:nvPicPr>
                        <pic:blipFill>
                          <a:blip r:embed="rId6"/>
                          <a:srcRect/>
                          <a:stretch>
                            <a:fillRect/>
                          </a:stretch>
                        </pic:blipFill>
                        <pic:spPr>
                          <a:xfrm>
                            <a:off x="0" y="0"/>
                            <a:ext cx="1440000" cy="1929600"/>
                          </a:xfrm>
                          <a:prstGeom prst="rect">
                            <a:avLst/>
                          </a:prstGeom>
                          <a:noFill/>
                          <a:ln w="9525">
                            <a:noFill/>
                            <a:miter lim="800000"/>
                            <a:headEnd/>
                            <a:tailEnd/>
                          </a:ln>
                        </pic:spPr>
                      </pic:pic>
                    </a:graphicData>
                  </a:graphic>
                </wp:inline>
              </w:drawing>
            </w:r>
          </w:p>
        </w:tc>
        <w:tc>
          <w:tcPr>
            <w:tcW w:w="2990" w:type="dxa"/>
          </w:tcPr>
          <w:p>
            <w:pPr>
              <w:spacing w:line="360" w:lineRule="auto"/>
              <w:jc w:val="center"/>
              <w:rPr>
                <w:rFonts w:ascii="宋体" w:hAnsi="宋体"/>
                <w:szCs w:val="21"/>
              </w:rPr>
            </w:pPr>
            <w:r>
              <w:drawing>
                <wp:inline distT="0" distB="0" distL="0" distR="0">
                  <wp:extent cx="1439545" cy="1929130"/>
                  <wp:effectExtent l="0" t="0" r="0" b="0"/>
                  <wp:docPr id="12" name="图片 5" descr="C:\Users\Administrator\Documents\Tencent Files\23753585\FileRecv\MobileFile\IMG_0423(20200115-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C:\Users\Administrator\Documents\Tencent Files\23753585\FileRecv\MobileFile\IMG_0423(20200115-153520).JPG"/>
                          <pic:cNvPicPr>
                            <a:picLocks noChangeAspect="1" noChangeArrowheads="1"/>
                          </pic:cNvPicPr>
                        </pic:nvPicPr>
                        <pic:blipFill>
                          <a:blip r:embed="rId7"/>
                          <a:srcRect/>
                          <a:stretch>
                            <a:fillRect/>
                          </a:stretch>
                        </pic:blipFill>
                        <pic:spPr>
                          <a:xfrm>
                            <a:off x="0" y="0"/>
                            <a:ext cx="1440000" cy="1929600"/>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970" w:type="dxa"/>
            <w:vAlign w:val="center"/>
          </w:tcPr>
          <w:p>
            <w:pPr>
              <w:spacing w:line="240" w:lineRule="exact"/>
              <w:jc w:val="center"/>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江苏宏达高压油泵制造有限公司</w:t>
            </w:r>
          </w:p>
          <w:p>
            <w:pPr>
              <w:spacing w:line="240" w:lineRule="exact"/>
              <w:jc w:val="center"/>
              <w:rPr>
                <w:rFonts w:asciiTheme="minorEastAsia" w:hAnsiTheme="minorEastAsia" w:eastAsiaTheme="minorEastAsia"/>
                <w:sz w:val="18"/>
                <w:szCs w:val="18"/>
              </w:rPr>
            </w:pPr>
            <w:r>
              <w:rPr>
                <w:rFonts w:hint="eastAsia" w:asciiTheme="minorEastAsia" w:hAnsiTheme="minorEastAsia" w:eastAsiaTheme="minorEastAsia"/>
                <w:b/>
                <w:bCs/>
                <w:sz w:val="18"/>
                <w:szCs w:val="18"/>
              </w:rPr>
              <w:t>副总经理</w:t>
            </w:r>
          </w:p>
        </w:tc>
        <w:tc>
          <w:tcPr>
            <w:tcW w:w="2937" w:type="dxa"/>
          </w:tcPr>
          <w:p>
            <w:pPr>
              <w:jc w:val="center"/>
              <w:rPr>
                <w:rFonts w:ascii="宋体" w:hAnsi="宋体"/>
                <w:b/>
                <w:bCs/>
                <w:szCs w:val="21"/>
              </w:rPr>
            </w:pPr>
            <w:r>
              <w:rPr>
                <w:rFonts w:hint="eastAsia" w:asciiTheme="minorEastAsia" w:hAnsiTheme="minorEastAsia" w:eastAsiaTheme="minorEastAsia"/>
                <w:b/>
                <w:bCs/>
                <w:sz w:val="18"/>
                <w:szCs w:val="18"/>
              </w:rPr>
              <w:t>江苏鹰游纺机有限公司电气工程师</w:t>
            </w:r>
          </w:p>
        </w:tc>
        <w:tc>
          <w:tcPr>
            <w:tcW w:w="2990" w:type="dxa"/>
          </w:tcPr>
          <w:p>
            <w:pPr>
              <w:jc w:val="center"/>
              <w:rPr>
                <w:rFonts w:ascii="宋体" w:hAnsi="宋体"/>
                <w:szCs w:val="21"/>
              </w:rPr>
            </w:pPr>
            <w:r>
              <w:rPr>
                <w:rFonts w:hint="eastAsia" w:asciiTheme="minorEastAsia" w:hAnsiTheme="minorEastAsia" w:eastAsiaTheme="minorEastAsia"/>
                <w:b/>
                <w:bCs/>
                <w:sz w:val="18"/>
                <w:szCs w:val="18"/>
              </w:rPr>
              <w:t>上海大众技术员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970" w:type="dxa"/>
            <w:tcBorders>
              <w:top w:val="nil"/>
              <w:left w:val="nil"/>
              <w:bottom w:val="nil"/>
              <w:right w:val="nil"/>
            </w:tcBorders>
          </w:tcPr>
          <w:p>
            <w:pPr>
              <w:spacing w:line="360" w:lineRule="auto"/>
              <w:rPr>
                <w:rFonts w:ascii="宋体" w:hAnsi="宋体"/>
                <w:szCs w:val="21"/>
              </w:rPr>
            </w:pPr>
            <w:r>
              <w:drawing>
                <wp:inline distT="0" distB="0" distL="0" distR="0">
                  <wp:extent cx="1727835" cy="1151890"/>
                  <wp:effectExtent l="0" t="0" r="0" b="0"/>
                  <wp:docPr id="29" name="图片 2" descr="C:\Users\Administrator\Documents\Tencent Files\23753585\FileRecv\MobileFile\IMG_0418(20200115-14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C:\Users\Administrator\Documents\Tencent Files\23753585\FileRecv\MobileFile\IMG_0418(20200115-144755).JPG"/>
                          <pic:cNvPicPr>
                            <a:picLocks noChangeAspect="1" noChangeArrowheads="1"/>
                          </pic:cNvPicPr>
                        </pic:nvPicPr>
                        <pic:blipFill>
                          <a:blip r:embed="rId8"/>
                          <a:srcRect/>
                          <a:stretch>
                            <a:fillRect/>
                          </a:stretch>
                        </pic:blipFill>
                        <pic:spPr>
                          <a:xfrm>
                            <a:off x="0" y="0"/>
                            <a:ext cx="1728000" cy="1152000"/>
                          </a:xfrm>
                          <a:prstGeom prst="rect">
                            <a:avLst/>
                          </a:prstGeom>
                          <a:noFill/>
                          <a:ln w="9525">
                            <a:noFill/>
                            <a:miter lim="800000"/>
                            <a:headEnd/>
                            <a:tailEnd/>
                          </a:ln>
                        </pic:spPr>
                      </pic:pic>
                    </a:graphicData>
                  </a:graphic>
                </wp:inline>
              </w:drawing>
            </w:r>
          </w:p>
        </w:tc>
        <w:tc>
          <w:tcPr>
            <w:tcW w:w="2937" w:type="dxa"/>
            <w:tcBorders>
              <w:top w:val="nil"/>
              <w:left w:val="nil"/>
              <w:bottom w:val="nil"/>
              <w:right w:val="nil"/>
            </w:tcBorders>
          </w:tcPr>
          <w:p>
            <w:pPr>
              <w:spacing w:line="360" w:lineRule="auto"/>
              <w:rPr>
                <w:rFonts w:ascii="宋体" w:hAnsi="宋体"/>
                <w:szCs w:val="21"/>
              </w:rPr>
            </w:pPr>
            <w:r>
              <w:drawing>
                <wp:inline distT="0" distB="0" distL="0" distR="0">
                  <wp:extent cx="1727835" cy="1151890"/>
                  <wp:effectExtent l="0" t="0" r="0" b="0"/>
                  <wp:docPr id="11" name="图片 4" descr="F:\机电专业招生简章\就业照片\中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F:\机电专业招生简章\就业照片\中烟.png"/>
                          <pic:cNvPicPr>
                            <a:picLocks noChangeAspect="1" noChangeArrowheads="1"/>
                          </pic:cNvPicPr>
                        </pic:nvPicPr>
                        <pic:blipFill>
                          <a:blip r:embed="rId9"/>
                          <a:srcRect/>
                          <a:stretch>
                            <a:fillRect/>
                          </a:stretch>
                        </pic:blipFill>
                        <pic:spPr>
                          <a:xfrm>
                            <a:off x="0" y="0"/>
                            <a:ext cx="1728000" cy="1152000"/>
                          </a:xfrm>
                          <a:prstGeom prst="rect">
                            <a:avLst/>
                          </a:prstGeom>
                          <a:noFill/>
                          <a:ln w="9525">
                            <a:noFill/>
                            <a:miter lim="800000"/>
                            <a:headEnd/>
                            <a:tailEnd/>
                          </a:ln>
                        </pic:spPr>
                      </pic:pic>
                    </a:graphicData>
                  </a:graphic>
                </wp:inline>
              </w:drawing>
            </w:r>
          </w:p>
        </w:tc>
        <w:tc>
          <w:tcPr>
            <w:tcW w:w="2990" w:type="dxa"/>
            <w:tcBorders>
              <w:top w:val="nil"/>
              <w:left w:val="nil"/>
              <w:bottom w:val="nil"/>
              <w:right w:val="nil"/>
            </w:tcBorders>
          </w:tcPr>
          <w:p>
            <w:pPr>
              <w:spacing w:line="360" w:lineRule="auto"/>
              <w:rPr>
                <w:rFonts w:ascii="宋体" w:hAnsi="宋体"/>
                <w:szCs w:val="21"/>
              </w:rPr>
            </w:pPr>
            <w:r>
              <w:rPr>
                <w:rFonts w:hint="eastAsia"/>
              </w:rPr>
              <w:drawing>
                <wp:inline distT="0" distB="0" distL="0" distR="0">
                  <wp:extent cx="1727835" cy="1151890"/>
                  <wp:effectExtent l="0" t="0" r="0" b="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noChangeArrowheads="1"/>
                          </pic:cNvPicPr>
                        </pic:nvPicPr>
                        <pic:blipFill>
                          <a:blip r:embed="rId10"/>
                          <a:srcRect/>
                          <a:stretch>
                            <a:fillRect/>
                          </a:stretch>
                        </pic:blipFill>
                        <pic:spPr>
                          <a:xfrm>
                            <a:off x="0" y="0"/>
                            <a:ext cx="1728000" cy="1152000"/>
                          </a:xfrm>
                          <a:prstGeom prst="rect">
                            <a:avLst/>
                          </a:prstGeom>
                          <a:noFill/>
                          <a:ln w="9525">
                            <a:noFill/>
                            <a:miter lim="800000"/>
                            <a:headEnd/>
                            <a:tailEn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970" w:type="dxa"/>
            <w:tcBorders>
              <w:top w:val="nil"/>
              <w:left w:val="nil"/>
              <w:bottom w:val="nil"/>
              <w:right w:val="nil"/>
            </w:tcBorders>
            <w:vAlign w:val="center"/>
          </w:tcPr>
          <w:p>
            <w:pPr>
              <w:spacing w:line="240" w:lineRule="exact"/>
              <w:jc w:val="center"/>
              <w:rPr>
                <w:rFonts w:asciiTheme="minorEastAsia" w:hAnsiTheme="minorEastAsia" w:eastAsiaTheme="minorEastAsia"/>
                <w:b/>
                <w:bCs/>
                <w:sz w:val="18"/>
                <w:szCs w:val="18"/>
              </w:rPr>
            </w:pPr>
            <w:r>
              <w:rPr>
                <w:rFonts w:asciiTheme="minorEastAsia" w:hAnsiTheme="minorEastAsia" w:eastAsiaTheme="minorEastAsia"/>
                <w:b/>
                <w:bCs/>
                <w:sz w:val="18"/>
                <w:szCs w:val="18"/>
              </w:rPr>
              <w:t>达涅利冶金设备中国有限公司</w:t>
            </w:r>
          </w:p>
          <w:p>
            <w:pPr>
              <w:spacing w:line="240" w:lineRule="exact"/>
              <w:jc w:val="center"/>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 xml:space="preserve">现场经理 </w:t>
            </w:r>
          </w:p>
        </w:tc>
        <w:tc>
          <w:tcPr>
            <w:tcW w:w="2937" w:type="dxa"/>
            <w:tcBorders>
              <w:top w:val="nil"/>
              <w:left w:val="nil"/>
              <w:bottom w:val="nil"/>
              <w:right w:val="nil"/>
            </w:tcBorders>
          </w:tcPr>
          <w:p>
            <w:pPr>
              <w:jc w:val="center"/>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中烟江苏中烟工业有限公司技术员</w:t>
            </w:r>
          </w:p>
        </w:tc>
        <w:tc>
          <w:tcPr>
            <w:tcW w:w="2990" w:type="dxa"/>
            <w:tcBorders>
              <w:top w:val="nil"/>
              <w:left w:val="nil"/>
              <w:bottom w:val="nil"/>
              <w:right w:val="nil"/>
            </w:tcBorders>
            <w:vAlign w:val="center"/>
          </w:tcPr>
          <w:p>
            <w:pPr>
              <w:spacing w:line="240" w:lineRule="exact"/>
              <w:jc w:val="center"/>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亿滋食品苏州有限公司</w:t>
            </w:r>
          </w:p>
          <w:p>
            <w:pPr>
              <w:spacing w:line="240" w:lineRule="exact"/>
              <w:jc w:val="center"/>
              <w:rPr>
                <w:rFonts w:asciiTheme="minorEastAsia" w:hAnsiTheme="minorEastAsia" w:eastAsiaTheme="minorEastAsia"/>
                <w:b/>
                <w:bCs/>
                <w:sz w:val="18"/>
                <w:szCs w:val="18"/>
              </w:rPr>
            </w:pPr>
            <w:r>
              <w:rPr>
                <w:rFonts w:hint="eastAsia" w:asciiTheme="minorEastAsia" w:hAnsiTheme="minorEastAsia" w:eastAsiaTheme="minorEastAsia"/>
                <w:b/>
                <w:bCs/>
                <w:sz w:val="18"/>
                <w:szCs w:val="18"/>
              </w:rPr>
              <w:t>机电专业订单班</w:t>
            </w:r>
          </w:p>
        </w:tc>
      </w:tr>
    </w:tbl>
    <w:p>
      <w:pPr>
        <w:spacing w:line="300" w:lineRule="auto"/>
        <w:ind w:firstLine="420" w:firstLineChars="200"/>
      </w:pPr>
    </w:p>
    <w:p>
      <w:pPr>
        <w:spacing w:line="300" w:lineRule="auto"/>
        <w:ind w:firstLine="420" w:firstLineChars="200"/>
        <w:rPr>
          <w:rFonts w:ascii="宋体" w:hAnsi="宋体"/>
          <w:szCs w:val="21"/>
        </w:rPr>
      </w:pPr>
      <w:r>
        <w:t>好升学——学生可通过专转本、专接本、专升本的形式就读本科。近年来，专转本的录取比例在50%左右。专接本无需参加入学考试，在就读专科学校接读省内本科，专科三年级和本科一年级同时进行，三年可获专科毕业证，四年可获本科毕业证，接本同学可以申请本科学士学位证书。</w:t>
      </w:r>
    </w:p>
    <w:p>
      <w:pPr>
        <w:spacing w:line="300" w:lineRule="auto"/>
        <w:ind w:firstLine="420" w:firstLineChars="200"/>
        <w:rPr>
          <w:rFonts w:ascii="宋体" w:hAnsi="宋体"/>
          <w:szCs w:val="21"/>
        </w:rPr>
      </w:pPr>
      <w:r>
        <w:rPr>
          <w:rFonts w:hint="eastAsia" w:ascii="宋体" w:hAnsi="宋体"/>
          <w:szCs w:val="21"/>
        </w:rPr>
        <w:t xml:space="preserve">机电工程学院与南京理工大学、南京林业大学、南京工程学院分别合作开展机电一体化工程、工业机器人技术、材料成型及控制专业专接本。学校是南京林业大学淮安函授站，开设机械电子工程和自动化两个专业的成人本科教育，使专业同学毕业进入工作岗位后继续进行本科学习。学校为“专转本”同学免费进行各科目辅导，助力转本同学继续求学深造。                                                                                                                                                                                                                                                                                                                                                                                                                                                                                                                                                                                                                                                                                                                                                                                                                                                                                                                                                                                                                                                                                                                                                                                                                                                                                                                                                                                                                                                                                                                                                                                                                                                                                                                                                                                                                                                                                                                                                                                                                                                                                                                                                                                                                                                                                                                                                                                  </w:t>
      </w:r>
    </w:p>
    <w:p>
      <w:pPr>
        <w:spacing w:line="360" w:lineRule="auto"/>
        <w:jc w:val="center"/>
        <w:rPr>
          <w:rFonts w:ascii="宋体" w:hAnsi="宋体" w:cs="宋体"/>
          <w:color w:val="000000"/>
          <w:kern w:val="0"/>
          <w:sz w:val="24"/>
        </w:rPr>
      </w:pPr>
      <w:r>
        <w:rPr>
          <w:rFonts w:ascii="宋体" w:hAnsi="宋体" w:cs="宋体"/>
          <w:color w:val="000000"/>
          <w:kern w:val="0"/>
          <w:sz w:val="24"/>
        </w:rPr>
        <w:t xml:space="preserve">  </w:t>
      </w:r>
    </w:p>
    <w:p>
      <w:pPr>
        <w:ind w:firstLine="422" w:firstLineChars="200"/>
        <w:jc w:val="center"/>
        <w:rPr>
          <w:b/>
        </w:rPr>
      </w:pPr>
    </w:p>
    <w:p>
      <w:pPr>
        <w:ind w:firstLine="422" w:firstLineChars="200"/>
        <w:jc w:val="center"/>
        <w:rPr>
          <w:b/>
        </w:rPr>
      </w:pPr>
    </w:p>
    <w:p>
      <w:pPr>
        <w:ind w:firstLine="422" w:firstLineChars="200"/>
        <w:jc w:val="center"/>
        <w:rPr>
          <w:b/>
        </w:rPr>
      </w:pPr>
    </w:p>
    <w:p>
      <w:pPr>
        <w:ind w:firstLine="422" w:firstLineChars="200"/>
        <w:jc w:val="center"/>
        <w:rPr>
          <w:b/>
        </w:rPr>
      </w:pPr>
    </w:p>
    <w:p>
      <w:pPr>
        <w:ind w:firstLine="422" w:firstLineChars="200"/>
        <w:jc w:val="center"/>
        <w:rPr>
          <w:b/>
        </w:rPr>
      </w:pPr>
      <w:r>
        <w:rPr>
          <w:rFonts w:hint="eastAsia"/>
          <w:b/>
        </w:rPr>
        <w:t>欢迎您在线报名</w:t>
      </w:r>
    </w:p>
    <w:p>
      <w:pPr>
        <w:rPr>
          <w:b/>
        </w:rPr>
      </w:pPr>
      <w:r>
        <w:rPr>
          <w:rFonts w:hint="eastAsia"/>
          <w:b/>
        </w:rPr>
        <w:t>姓名</w:t>
      </w:r>
    </w:p>
    <w:p>
      <w:pPr>
        <w:rPr>
          <w:b/>
        </w:rPr>
      </w:pPr>
      <w:r>
        <w:rPr>
          <w:rFonts w:hint="eastAsia"/>
          <w:b/>
        </w:rPr>
        <w:t>电话</w:t>
      </w:r>
    </w:p>
    <w:p>
      <w:pPr>
        <w:rPr>
          <w:b/>
        </w:rPr>
      </w:pPr>
      <w:r>
        <w:rPr>
          <w:rFonts w:hint="eastAsia"/>
          <w:b/>
        </w:rPr>
        <w:t>现就读学校</w:t>
      </w:r>
    </w:p>
    <w:p>
      <w:pPr>
        <w:rPr>
          <w:b/>
        </w:rPr>
      </w:pPr>
      <w:r>
        <w:rPr>
          <w:rFonts w:hint="eastAsia"/>
          <w:b/>
        </w:rPr>
        <w:t>拟报考专业</w:t>
      </w:r>
    </w:p>
    <w:p>
      <w:pPr>
        <w:rPr>
          <w:b/>
        </w:rPr>
      </w:pPr>
      <w:r>
        <w:rPr>
          <w:rFonts w:hint="eastAsia"/>
          <w:b/>
        </w:rPr>
        <w:t>提交</w:t>
      </w:r>
    </w:p>
    <w:p>
      <w:pPr>
        <w:ind w:firstLine="422" w:firstLineChars="200"/>
        <w:rPr>
          <w:b/>
        </w:rPr>
      </w:pPr>
    </w:p>
    <w:p>
      <w:pPr>
        <w:ind w:firstLine="422" w:firstLineChars="200"/>
        <w:rPr>
          <w:b/>
        </w:rPr>
      </w:pPr>
    </w:p>
    <w:p>
      <w:pPr>
        <w:ind w:firstLine="422" w:firstLineChars="200"/>
        <w:rPr>
          <w:b/>
        </w:rPr>
      </w:pPr>
    </w:p>
    <w:p>
      <w:pPr>
        <w:spacing w:line="360" w:lineRule="auto"/>
        <w:rPr>
          <w:rFonts w:ascii="宋体" w:hAnsi="宋体"/>
          <w:b/>
          <w:sz w:val="24"/>
        </w:rPr>
      </w:pPr>
      <w:r>
        <w:rPr>
          <w:rFonts w:hint="eastAsia" w:ascii="宋体" w:hAnsi="宋体"/>
          <w:b/>
          <w:sz w:val="24"/>
        </w:rPr>
        <w:t>咨询电话：</w:t>
      </w:r>
    </w:p>
    <w:p>
      <w:pPr>
        <w:spacing w:line="360" w:lineRule="auto"/>
        <w:rPr>
          <w:rFonts w:ascii="宋体" w:hAnsi="宋体"/>
          <w:sz w:val="24"/>
        </w:rPr>
      </w:pPr>
      <w:r>
        <w:rPr>
          <w:rFonts w:hint="eastAsia" w:ascii="宋体" w:hAnsi="宋体"/>
          <w:sz w:val="24"/>
        </w:rPr>
        <w:t>张老师13605239851</w:t>
      </w:r>
    </w:p>
    <w:p>
      <w:pPr>
        <w:adjustRightInd w:val="0"/>
        <w:snapToGrid w:val="0"/>
        <w:spacing w:line="360" w:lineRule="auto"/>
        <w:rPr>
          <w:rFonts w:ascii="黑体" w:hAnsi="宋体" w:eastAsia="黑体"/>
          <w:b/>
          <w:sz w:val="30"/>
          <w:szCs w:val="30"/>
        </w:rPr>
      </w:pPr>
      <w:bookmarkStart w:id="0" w:name="_GoBack"/>
      <w:bookmarkEnd w:id="0"/>
    </w:p>
    <w:p>
      <w:pPr>
        <w:ind w:firstLine="422" w:firstLineChars="200"/>
        <w:rPr>
          <w:b/>
        </w:rPr>
      </w:pPr>
    </w:p>
    <w:p>
      <w:pPr>
        <w:spacing w:line="360" w:lineRule="auto"/>
        <w:rPr>
          <w:rFonts w:ascii="宋体" w:hAnsi="宋体" w:cs="宋体"/>
          <w:color w:val="000000"/>
          <w:kern w:val="0"/>
          <w:sz w:val="24"/>
        </w:rPr>
      </w:pPr>
    </w:p>
    <w:sectPr>
      <w:footerReference r:id="rId3" w:type="default"/>
      <w:pgSz w:w="11906" w:h="16838"/>
      <w:pgMar w:top="1134" w:right="1418" w:bottom="1134" w:left="1418"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center"/>
    </w:pPr>
    <w:r>
      <w:fldChar w:fldCharType="begin"/>
    </w:r>
    <w:r>
      <w:instrText xml:space="preserve">PAGE   \* MERGEFORMAT</w:instrText>
    </w:r>
    <w:r>
      <w:fldChar w:fldCharType="separate"/>
    </w:r>
    <w:r>
      <w:rPr>
        <w:lang w:val="zh-CN"/>
      </w:rPr>
      <w:t>2</w:t>
    </w:r>
    <w:r>
      <w:fldChar w:fldCharType="end"/>
    </w:r>
  </w:p>
  <w:p>
    <w:pPr>
      <w:pStyle w:val="5"/>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bordersDoNotSurroundHeader w:val="1"/>
  <w:bordersDoNotSurroundFooter w:val="1"/>
  <w:documentProtection w:enforcement="0"/>
  <w:defaultTabStop w:val="420"/>
  <w:drawingGridVerticalSpacing w:val="156"/>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0A6A"/>
    <w:rsid w:val="00002956"/>
    <w:rsid w:val="00006ED2"/>
    <w:rsid w:val="0000770D"/>
    <w:rsid w:val="00007CF2"/>
    <w:rsid w:val="00030E26"/>
    <w:rsid w:val="00042829"/>
    <w:rsid w:val="00045D5E"/>
    <w:rsid w:val="00064736"/>
    <w:rsid w:val="00073B08"/>
    <w:rsid w:val="00090844"/>
    <w:rsid w:val="00092E72"/>
    <w:rsid w:val="000A6323"/>
    <w:rsid w:val="000D2545"/>
    <w:rsid w:val="000E1F70"/>
    <w:rsid w:val="000E3CDA"/>
    <w:rsid w:val="000F6647"/>
    <w:rsid w:val="001213D4"/>
    <w:rsid w:val="00123C40"/>
    <w:rsid w:val="00161BBA"/>
    <w:rsid w:val="001709DA"/>
    <w:rsid w:val="00176FDF"/>
    <w:rsid w:val="001A5819"/>
    <w:rsid w:val="00204E53"/>
    <w:rsid w:val="00210382"/>
    <w:rsid w:val="0025094E"/>
    <w:rsid w:val="00266C98"/>
    <w:rsid w:val="0027265C"/>
    <w:rsid w:val="0027497E"/>
    <w:rsid w:val="00277539"/>
    <w:rsid w:val="002922C1"/>
    <w:rsid w:val="00292D9C"/>
    <w:rsid w:val="002A75BC"/>
    <w:rsid w:val="002B0DDB"/>
    <w:rsid w:val="002B156F"/>
    <w:rsid w:val="002B3B17"/>
    <w:rsid w:val="002B4928"/>
    <w:rsid w:val="002C11E3"/>
    <w:rsid w:val="002D7F91"/>
    <w:rsid w:val="003059CA"/>
    <w:rsid w:val="00314AC1"/>
    <w:rsid w:val="0031522E"/>
    <w:rsid w:val="00345BCF"/>
    <w:rsid w:val="003527F4"/>
    <w:rsid w:val="00360A6A"/>
    <w:rsid w:val="003673A9"/>
    <w:rsid w:val="003A4926"/>
    <w:rsid w:val="003B4BEA"/>
    <w:rsid w:val="00404311"/>
    <w:rsid w:val="00477193"/>
    <w:rsid w:val="00483382"/>
    <w:rsid w:val="00485F04"/>
    <w:rsid w:val="004907CA"/>
    <w:rsid w:val="004952C9"/>
    <w:rsid w:val="004A46C0"/>
    <w:rsid w:val="004B1C58"/>
    <w:rsid w:val="004C6B53"/>
    <w:rsid w:val="004D3994"/>
    <w:rsid w:val="004E41DF"/>
    <w:rsid w:val="004F1F5F"/>
    <w:rsid w:val="004F548B"/>
    <w:rsid w:val="00501250"/>
    <w:rsid w:val="00517C17"/>
    <w:rsid w:val="00521B7F"/>
    <w:rsid w:val="00575CD2"/>
    <w:rsid w:val="00584CE0"/>
    <w:rsid w:val="00584FA5"/>
    <w:rsid w:val="005A233E"/>
    <w:rsid w:val="005B64A8"/>
    <w:rsid w:val="005E15BA"/>
    <w:rsid w:val="005E186F"/>
    <w:rsid w:val="005F419A"/>
    <w:rsid w:val="00620680"/>
    <w:rsid w:val="006375B1"/>
    <w:rsid w:val="006B38A0"/>
    <w:rsid w:val="006B617B"/>
    <w:rsid w:val="006B7CF5"/>
    <w:rsid w:val="006E2C47"/>
    <w:rsid w:val="00725F57"/>
    <w:rsid w:val="007542DD"/>
    <w:rsid w:val="00782CEF"/>
    <w:rsid w:val="00791870"/>
    <w:rsid w:val="007A0310"/>
    <w:rsid w:val="007A5DA9"/>
    <w:rsid w:val="007A6C51"/>
    <w:rsid w:val="007B1C1C"/>
    <w:rsid w:val="007D492B"/>
    <w:rsid w:val="007E2751"/>
    <w:rsid w:val="007E335A"/>
    <w:rsid w:val="007E5532"/>
    <w:rsid w:val="007F3EDE"/>
    <w:rsid w:val="00854C48"/>
    <w:rsid w:val="00887729"/>
    <w:rsid w:val="00897962"/>
    <w:rsid w:val="008A2743"/>
    <w:rsid w:val="008E46EB"/>
    <w:rsid w:val="008E7ECD"/>
    <w:rsid w:val="008F1268"/>
    <w:rsid w:val="009218A8"/>
    <w:rsid w:val="009516EF"/>
    <w:rsid w:val="0096336F"/>
    <w:rsid w:val="00975810"/>
    <w:rsid w:val="009771C8"/>
    <w:rsid w:val="00982D16"/>
    <w:rsid w:val="00993D2D"/>
    <w:rsid w:val="009A48DD"/>
    <w:rsid w:val="009D0F5A"/>
    <w:rsid w:val="009F0A0C"/>
    <w:rsid w:val="00A02029"/>
    <w:rsid w:val="00A03CCE"/>
    <w:rsid w:val="00A540A5"/>
    <w:rsid w:val="00A72175"/>
    <w:rsid w:val="00A93634"/>
    <w:rsid w:val="00A93CCF"/>
    <w:rsid w:val="00AE3222"/>
    <w:rsid w:val="00AE5BC4"/>
    <w:rsid w:val="00B314AE"/>
    <w:rsid w:val="00B36992"/>
    <w:rsid w:val="00B64F8F"/>
    <w:rsid w:val="00B77001"/>
    <w:rsid w:val="00B956E0"/>
    <w:rsid w:val="00BA610D"/>
    <w:rsid w:val="00BA6536"/>
    <w:rsid w:val="00BB5F51"/>
    <w:rsid w:val="00BD2625"/>
    <w:rsid w:val="00BE220A"/>
    <w:rsid w:val="00C0390C"/>
    <w:rsid w:val="00C1083B"/>
    <w:rsid w:val="00C15497"/>
    <w:rsid w:val="00C42C46"/>
    <w:rsid w:val="00C8247F"/>
    <w:rsid w:val="00C84555"/>
    <w:rsid w:val="00CC6AC0"/>
    <w:rsid w:val="00CD6BC4"/>
    <w:rsid w:val="00CF1F6E"/>
    <w:rsid w:val="00CF6064"/>
    <w:rsid w:val="00D0776F"/>
    <w:rsid w:val="00D141A5"/>
    <w:rsid w:val="00D22F35"/>
    <w:rsid w:val="00D30223"/>
    <w:rsid w:val="00D32F80"/>
    <w:rsid w:val="00DD6D4B"/>
    <w:rsid w:val="00E248C6"/>
    <w:rsid w:val="00E72555"/>
    <w:rsid w:val="00E921AC"/>
    <w:rsid w:val="00EB1CE6"/>
    <w:rsid w:val="00EB3162"/>
    <w:rsid w:val="00EB5400"/>
    <w:rsid w:val="00EC6CFF"/>
    <w:rsid w:val="00EE5EFC"/>
    <w:rsid w:val="00F04104"/>
    <w:rsid w:val="00F121F0"/>
    <w:rsid w:val="00F128C5"/>
    <w:rsid w:val="00F13AD1"/>
    <w:rsid w:val="00F40F23"/>
    <w:rsid w:val="00F450EC"/>
    <w:rsid w:val="00F46722"/>
    <w:rsid w:val="00F76BF0"/>
    <w:rsid w:val="00F966EE"/>
    <w:rsid w:val="00FB05B0"/>
    <w:rsid w:val="00FB060D"/>
    <w:rsid w:val="00FD24AF"/>
    <w:rsid w:val="00FE43D4"/>
    <w:rsid w:val="00FE482C"/>
    <w:rsid w:val="03BC3DB7"/>
    <w:rsid w:val="05242E0F"/>
    <w:rsid w:val="099D3739"/>
    <w:rsid w:val="0C013D22"/>
    <w:rsid w:val="0C433A42"/>
    <w:rsid w:val="0F0B61F5"/>
    <w:rsid w:val="106C69FC"/>
    <w:rsid w:val="10986DFD"/>
    <w:rsid w:val="1A6907DF"/>
    <w:rsid w:val="1B617AAD"/>
    <w:rsid w:val="22203BEC"/>
    <w:rsid w:val="23022AAE"/>
    <w:rsid w:val="321B61C7"/>
    <w:rsid w:val="33D456F4"/>
    <w:rsid w:val="34E02D27"/>
    <w:rsid w:val="37C25232"/>
    <w:rsid w:val="414201AD"/>
    <w:rsid w:val="573F52B6"/>
    <w:rsid w:val="5BCC0674"/>
    <w:rsid w:val="604D49A0"/>
    <w:rsid w:val="64525E18"/>
    <w:rsid w:val="699C0658"/>
    <w:rsid w:val="706506D9"/>
    <w:rsid w:val="766D04FD"/>
    <w:rsid w:val="7AD57283"/>
    <w:rsid w:val="7DCA77A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unhideWhenUsed="0" w:uiPriority="99" w:semiHidden="0" w:name="header"/>
    <w:lsdException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0" w:semiHidden="0" w:name="Strong" w:locked="1"/>
    <w:lsdException w:qFormat="1" w:unhideWhenUsed="0" w:uiPriority="2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0" w:name="Table Web 3" w:locked="1"/>
    <w:lsdException w:uiPriority="99" w:name="Balloon Text"/>
    <w:lsdException w:unhideWhenUsed="0" w:uiPriority="0" w:semiHidden="0" w:name="Table Grid" w:locked="1"/>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7">
    <w:name w:val="Default Paragraph Font"/>
    <w:unhideWhenUsed/>
    <w:uiPriority w:val="1"/>
  </w:style>
  <w:style w:type="table" w:default="1" w:styleId="11">
    <w:name w:val="Normal Table"/>
    <w:unhideWhenUsed/>
    <w:uiPriority w:val="99"/>
    <w:tblPr>
      <w:tblLayout w:type="fixed"/>
      <w:tblCellMar>
        <w:top w:w="0" w:type="dxa"/>
        <w:left w:w="108" w:type="dxa"/>
        <w:bottom w:w="0" w:type="dxa"/>
        <w:right w:w="108" w:type="dxa"/>
      </w:tblCellMar>
    </w:tblPr>
  </w:style>
  <w:style w:type="paragraph" w:styleId="2">
    <w:name w:val="annotation subject"/>
    <w:basedOn w:val="3"/>
    <w:next w:val="3"/>
    <w:link w:val="17"/>
    <w:unhideWhenUsed/>
    <w:qFormat/>
    <w:uiPriority w:val="99"/>
    <w:rPr>
      <w:b/>
      <w:bCs/>
    </w:rPr>
  </w:style>
  <w:style w:type="paragraph" w:styleId="3">
    <w:name w:val="annotation text"/>
    <w:basedOn w:val="1"/>
    <w:link w:val="16"/>
    <w:unhideWhenUsed/>
    <w:uiPriority w:val="99"/>
    <w:pPr>
      <w:jc w:val="left"/>
    </w:pPr>
  </w:style>
  <w:style w:type="paragraph" w:styleId="4">
    <w:name w:val="Balloon Text"/>
    <w:basedOn w:val="1"/>
    <w:link w:val="15"/>
    <w:unhideWhenUsed/>
    <w:uiPriority w:val="99"/>
    <w:rPr>
      <w:sz w:val="18"/>
      <w:szCs w:val="18"/>
    </w:rPr>
  </w:style>
  <w:style w:type="paragraph" w:styleId="5">
    <w:name w:val="footer"/>
    <w:basedOn w:val="1"/>
    <w:link w:val="13"/>
    <w:uiPriority w:val="99"/>
    <w:pPr>
      <w:tabs>
        <w:tab w:val="center" w:pos="4153"/>
        <w:tab w:val="right" w:pos="8306"/>
      </w:tabs>
      <w:snapToGrid w:val="0"/>
      <w:jc w:val="left"/>
    </w:pPr>
    <w:rPr>
      <w:sz w:val="18"/>
      <w:szCs w:val="18"/>
    </w:rPr>
  </w:style>
  <w:style w:type="paragraph" w:styleId="6">
    <w:name w:val="header"/>
    <w:basedOn w:val="1"/>
    <w:link w:val="14"/>
    <w:uiPriority w:val="99"/>
    <w:pPr>
      <w:pBdr>
        <w:bottom w:val="single" w:color="auto" w:sz="6" w:space="1"/>
      </w:pBdr>
      <w:tabs>
        <w:tab w:val="center" w:pos="4153"/>
        <w:tab w:val="right" w:pos="8306"/>
      </w:tabs>
      <w:snapToGrid w:val="0"/>
      <w:jc w:val="center"/>
    </w:pPr>
    <w:rPr>
      <w:sz w:val="18"/>
      <w:szCs w:val="18"/>
    </w:rPr>
  </w:style>
  <w:style w:type="character" w:styleId="8">
    <w:name w:val="Emphasis"/>
    <w:basedOn w:val="7"/>
    <w:qFormat/>
    <w:locked/>
    <w:uiPriority w:val="20"/>
    <w:rPr>
      <w:i/>
      <w:iCs/>
    </w:rPr>
  </w:style>
  <w:style w:type="character" w:styleId="9">
    <w:name w:val="Hyperlink"/>
    <w:basedOn w:val="7"/>
    <w:unhideWhenUsed/>
    <w:uiPriority w:val="99"/>
    <w:rPr>
      <w:color w:val="0000FF" w:themeColor="hyperlink"/>
      <w:u w:val="single"/>
      <w14:textFill>
        <w14:solidFill>
          <w14:schemeClr w14:val="hlink"/>
        </w14:solidFill>
      </w14:textFill>
    </w:rPr>
  </w:style>
  <w:style w:type="character" w:styleId="10">
    <w:name w:val="annotation reference"/>
    <w:basedOn w:val="7"/>
    <w:unhideWhenUsed/>
    <w:uiPriority w:val="99"/>
    <w:rPr>
      <w:sz w:val="21"/>
      <w:szCs w:val="21"/>
    </w:rPr>
  </w:style>
  <w:style w:type="table" w:styleId="12">
    <w:name w:val="Table Grid"/>
    <w:basedOn w:val="11"/>
    <w:locked/>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customStyle="1" w:styleId="13">
    <w:name w:val="页脚 Char"/>
    <w:basedOn w:val="7"/>
    <w:link w:val="5"/>
    <w:locked/>
    <w:uiPriority w:val="99"/>
    <w:rPr>
      <w:rFonts w:cs="Times New Roman"/>
      <w:sz w:val="18"/>
      <w:szCs w:val="18"/>
    </w:rPr>
  </w:style>
  <w:style w:type="character" w:customStyle="1" w:styleId="14">
    <w:name w:val="页眉 Char"/>
    <w:basedOn w:val="7"/>
    <w:link w:val="6"/>
    <w:locked/>
    <w:uiPriority w:val="99"/>
    <w:rPr>
      <w:rFonts w:cs="Times New Roman"/>
      <w:sz w:val="18"/>
      <w:szCs w:val="18"/>
    </w:rPr>
  </w:style>
  <w:style w:type="character" w:customStyle="1" w:styleId="15">
    <w:name w:val="批注框文本 Char"/>
    <w:basedOn w:val="7"/>
    <w:link w:val="4"/>
    <w:semiHidden/>
    <w:uiPriority w:val="99"/>
    <w:rPr>
      <w:kern w:val="2"/>
      <w:sz w:val="18"/>
      <w:szCs w:val="18"/>
    </w:rPr>
  </w:style>
  <w:style w:type="character" w:customStyle="1" w:styleId="16">
    <w:name w:val="批注文字 Char"/>
    <w:basedOn w:val="7"/>
    <w:link w:val="3"/>
    <w:semiHidden/>
    <w:uiPriority w:val="99"/>
    <w:rPr>
      <w:kern w:val="2"/>
      <w:sz w:val="21"/>
      <w:szCs w:val="24"/>
    </w:rPr>
  </w:style>
  <w:style w:type="character" w:customStyle="1" w:styleId="17">
    <w:name w:val="批注主题 Char"/>
    <w:basedOn w:val="16"/>
    <w:link w:val="2"/>
    <w:semiHidden/>
    <w:qFormat/>
    <w:uiPriority w:val="99"/>
    <w:rPr>
      <w:b/>
      <w:bCs/>
      <w:kern w:val="2"/>
      <w:sz w:val="21"/>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1.xml"/><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中国</Company>
  <Pages>3</Pages>
  <Words>592</Words>
  <Characters>3379</Characters>
  <Lines>28</Lines>
  <Paragraphs>7</Paragraphs>
  <TotalTime>0</TotalTime>
  <ScaleCrop>false</ScaleCrop>
  <LinksUpToDate>false</LinksUpToDate>
  <CharactersWithSpaces>3964</CharactersWithSpaces>
  <Application>WPS Office_10.1.0.7022_F1E327BC-269C-435d-A152-05C5408002CA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2022-05-05T08:40:00Z</dcterms:created>
  <dc:creator>晋冬</dc:creator>
  <cp:lastModifiedBy>李兵</cp:lastModifiedBy>
  <cp:lastPrinted>2022-05-05T09:34:00Z</cp:lastPrinted>
  <dcterms:modified xsi:type="dcterms:W3CDTF">2022-05-30T11:25:59Z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2052-10.1.0.7022</vt:lpwstr>
  </property>
</Properties>
</file>